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F7C5" w14:textId="495F7E5F" w:rsidR="00870831" w:rsidRPr="00181043" w:rsidRDefault="00870831" w:rsidP="00870831">
      <w:pPr>
        <w:pStyle w:val="CRCoverPage"/>
        <w:outlineLvl w:val="0"/>
        <w:rPr>
          <w:b/>
          <w:noProof/>
          <w:sz w:val="24"/>
        </w:rPr>
      </w:pPr>
      <w:bookmarkStart w:id="0" w:name="OLE_LINK1"/>
      <w:bookmarkStart w:id="1" w:name="OLE_LINK2"/>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33008">
        <w:rPr>
          <w:rFonts w:cs="Arial"/>
          <w:b/>
          <w:sz w:val="24"/>
          <w:lang w:val="en-US"/>
        </w:rPr>
        <w:t>R2-23</w:t>
      </w:r>
      <w:r w:rsidR="0098482E">
        <w:rPr>
          <w:rFonts w:cs="Arial"/>
          <w:b/>
          <w:sz w:val="24"/>
          <w:lang w:val="en-US"/>
        </w:rPr>
        <w:t>10302</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bookmarkEnd w:id="0"/>
    <w:bookmarkEnd w:id="1"/>
    <w:p w14:paraId="74BFE115" w14:textId="77777777" w:rsidR="00D00627" w:rsidRPr="00692DEB" w:rsidRDefault="00D00627" w:rsidP="00D00627">
      <w:pPr>
        <w:pStyle w:val="CRCoverPage"/>
        <w:outlineLvl w:val="0"/>
        <w:rPr>
          <w:b/>
          <w:sz w:val="24"/>
          <w:lang w:val="en-US"/>
        </w:rPr>
      </w:pPr>
    </w:p>
    <w:p w14:paraId="002AD3C6" w14:textId="74D3311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r w:rsidR="00543B32">
        <w:rPr>
          <w:rFonts w:ascii="Arial" w:eastAsia="MS Mincho" w:hAnsi="Arial" w:cs="Arial"/>
          <w:b/>
          <w:bCs/>
          <w:color w:val="auto"/>
          <w:sz w:val="24"/>
          <w:lang w:eastAsia="en-US"/>
        </w:rPr>
        <w:t>.</w:t>
      </w:r>
      <w:r w:rsidR="00087AB2">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25FBB02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85E14">
        <w:rPr>
          <w:rFonts w:ascii="Arial" w:eastAsia="Times New Roman" w:hAnsi="Arial" w:cs="Arial"/>
          <w:b/>
          <w:bCs/>
          <w:color w:val="auto"/>
          <w:sz w:val="24"/>
          <w:lang w:eastAsia="zh-CN"/>
        </w:rPr>
        <w:t>Remaining issues on CONNECTED mobility</w:t>
      </w:r>
      <w:r w:rsidR="004735F1" w:rsidRPr="004735F1">
        <w:rPr>
          <w:rFonts w:ascii="Arial" w:eastAsia="Times New Roman" w:hAnsi="Arial" w:cs="Arial"/>
          <w:b/>
          <w:bCs/>
          <w:color w:val="auto"/>
          <w:sz w:val="24"/>
          <w:lang w:eastAsia="zh-CN"/>
        </w:rPr>
        <w:t xml:space="preserve">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3BA93180" w14:textId="4F97BEE2" w:rsidR="00DC08DC" w:rsidRDefault="00DC08DC" w:rsidP="00DC08DC">
      <w:pPr>
        <w:pStyle w:val="NO"/>
        <w:ind w:left="0" w:firstLine="0"/>
        <w:rPr>
          <w:lang w:eastAsia="zh-CN"/>
        </w:rPr>
      </w:pPr>
      <w:bookmarkStart w:id="2" w:name="_Hlk61519723"/>
      <w:r>
        <w:rPr>
          <w:lang w:eastAsia="zh-CN"/>
        </w:rPr>
        <w:t xml:space="preserve">In RAN2#121b-e </w:t>
      </w:r>
      <w:r w:rsidR="00DE111F">
        <w:rPr>
          <w:lang w:eastAsia="zh-CN"/>
        </w:rPr>
        <w:t>[</w:t>
      </w:r>
      <w:r w:rsidR="006660E1">
        <w:rPr>
          <w:lang w:eastAsia="zh-CN"/>
        </w:rPr>
        <w:t>1</w:t>
      </w:r>
      <w:r w:rsidR="00DE111F">
        <w:rPr>
          <w:lang w:eastAsia="zh-CN"/>
        </w:rPr>
        <w:t>]</w:t>
      </w:r>
      <w:r w:rsidR="00115026">
        <w:rPr>
          <w:lang w:eastAsia="zh-CN"/>
        </w:rPr>
        <w:t>,</w:t>
      </w:r>
      <w:r w:rsidR="00DE111F">
        <w:rPr>
          <w:lang w:eastAsia="zh-CN"/>
        </w:rPr>
        <w:t xml:space="preserve"> </w:t>
      </w:r>
      <w:r w:rsidR="006660E1">
        <w:rPr>
          <w:lang w:eastAsia="zh-CN"/>
        </w:rPr>
        <w:t xml:space="preserve">RAN2#122 [2] and RAN2#123 [3], RAN2 made </w:t>
      </w:r>
      <w:r w:rsidR="00685C4D">
        <w:rPr>
          <w:lang w:eastAsia="zh-CN"/>
        </w:rPr>
        <w:t>below</w:t>
      </w:r>
      <w:r w:rsidR="006660E1">
        <w:rPr>
          <w:lang w:eastAsia="zh-CN"/>
        </w:rPr>
        <w:t xml:space="preserve"> </w:t>
      </w:r>
      <w:r w:rsidR="00FF3B4A">
        <w:rPr>
          <w:lang w:eastAsia="zh-CN"/>
        </w:rPr>
        <w:t>agreements</w:t>
      </w:r>
      <w:r w:rsidR="006660E1">
        <w:rPr>
          <w:lang w:eastAsia="zh-CN"/>
        </w:rPr>
        <w:t xml:space="preserve"> on RACH-less HO:</w:t>
      </w:r>
    </w:p>
    <w:p w14:paraId="5BC07ED0" w14:textId="7ECBD3F8" w:rsidR="00DE111F" w:rsidRPr="00DE111F" w:rsidRDefault="006660E1" w:rsidP="00DC08DC">
      <w:pPr>
        <w:pStyle w:val="NO"/>
        <w:ind w:left="0" w:firstLine="0"/>
        <w:rPr>
          <w:b/>
          <w:bCs/>
          <w:u w:val="single"/>
          <w:lang w:eastAsia="zh-CN"/>
        </w:rPr>
      </w:pPr>
      <w:r>
        <w:rPr>
          <w:b/>
          <w:bCs/>
          <w:u w:val="single"/>
          <w:lang w:eastAsia="zh-CN"/>
        </w:rPr>
        <w:t>RAN2#121b-e</w:t>
      </w:r>
      <w:r w:rsidR="00DE111F" w:rsidRPr="00DE111F">
        <w:rPr>
          <w:b/>
          <w:bCs/>
          <w:u w:val="single"/>
          <w:lang w:eastAsia="zh-CN"/>
        </w:rPr>
        <w:t>:</w:t>
      </w:r>
    </w:p>
    <w:p w14:paraId="28D247CA" w14:textId="31ABBFCD" w:rsidR="00C8294D" w:rsidRDefault="00C8294D" w:rsidP="00DE111F">
      <w:pPr>
        <w:pStyle w:val="Agreement"/>
        <w:tabs>
          <w:tab w:val="clear" w:pos="2250"/>
          <w:tab w:val="num" w:pos="1619"/>
        </w:tabs>
        <w:ind w:left="1619"/>
      </w:pPr>
      <w:r>
        <w:t xml:space="preserve">RACH-less for </w:t>
      </w:r>
      <w:proofErr w:type="spellStart"/>
      <w:r>
        <w:t>mIAB</w:t>
      </w:r>
      <w:proofErr w:type="spellEnd"/>
      <w:r>
        <w:t xml:space="preserve"> scenario, if agreed in the end, will cover only the case of same-TA. </w:t>
      </w:r>
    </w:p>
    <w:p w14:paraId="2874E5BD" w14:textId="77777777" w:rsidR="00C8294D" w:rsidRDefault="00C8294D" w:rsidP="00C8294D">
      <w:pPr>
        <w:pStyle w:val="Agreement"/>
        <w:tabs>
          <w:tab w:val="clear" w:pos="2250"/>
          <w:tab w:val="num" w:pos="1619"/>
        </w:tabs>
        <w:ind w:left="1619"/>
      </w:pPr>
      <w:r>
        <w:t>RAN2 discuss further the following options to support beam operation for the first UL transmission/DL reception towards the target logical DU in RACH-less HO during DU migration:</w:t>
      </w:r>
    </w:p>
    <w:p w14:paraId="279E5D0D" w14:textId="77777777" w:rsidR="00C8294D" w:rsidRDefault="00C8294D" w:rsidP="00C8294D">
      <w:pPr>
        <w:pStyle w:val="Agreement"/>
        <w:numPr>
          <w:ilvl w:val="0"/>
          <w:numId w:val="0"/>
        </w:numPr>
        <w:ind w:left="1619"/>
      </w:pPr>
      <w:r>
        <w:t xml:space="preserve">Option 1: (Explicit approach) Explicit beam information is included in HO command. FFS the details. </w:t>
      </w:r>
    </w:p>
    <w:p w14:paraId="016489F4" w14:textId="77777777" w:rsidR="00C8294D" w:rsidRPr="00DB2763" w:rsidRDefault="00C8294D" w:rsidP="00C8294D">
      <w:pPr>
        <w:pStyle w:val="Agreement"/>
        <w:numPr>
          <w:ilvl w:val="0"/>
          <w:numId w:val="0"/>
        </w:numPr>
        <w:ind w:left="1619"/>
      </w:pPr>
      <w:r>
        <w:t>Option 2: (Implicit approach) UE re-uses the same beam status as in the source cell (the beam information is not carried explicitly in HO command).</w:t>
      </w:r>
    </w:p>
    <w:p w14:paraId="090CFB09" w14:textId="77777777" w:rsidR="00C8294D" w:rsidRDefault="00C8294D" w:rsidP="00C8294D">
      <w:pPr>
        <w:pStyle w:val="Agreement"/>
        <w:tabs>
          <w:tab w:val="clear" w:pos="2250"/>
          <w:tab w:val="num" w:pos="1619"/>
        </w:tabs>
        <w:ind w:left="1619"/>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52406FF6" w14:textId="6F2DD762" w:rsidR="00E038F8" w:rsidRPr="00E038F8" w:rsidRDefault="00E038F8" w:rsidP="00E038F8">
      <w:pPr>
        <w:pStyle w:val="NO"/>
        <w:ind w:left="0" w:firstLine="0"/>
        <w:rPr>
          <w:b/>
          <w:bCs/>
          <w:u w:val="single"/>
          <w:lang w:eastAsia="zh-CN"/>
        </w:rPr>
      </w:pPr>
      <w:r w:rsidRPr="00E038F8">
        <w:rPr>
          <w:b/>
          <w:bCs/>
          <w:u w:val="single"/>
          <w:lang w:eastAsia="zh-CN"/>
        </w:rPr>
        <w:t>RAN2#122:</w:t>
      </w:r>
    </w:p>
    <w:p w14:paraId="47288EE0" w14:textId="01AF8853" w:rsidR="00025921" w:rsidRDefault="00025921" w:rsidP="00DE111F">
      <w:pPr>
        <w:pStyle w:val="Agreement"/>
        <w:tabs>
          <w:tab w:val="clear" w:pos="2250"/>
          <w:tab w:val="num" w:pos="1619"/>
        </w:tabs>
        <w:ind w:left="1619"/>
      </w:pPr>
      <w:r>
        <w:t>RAN2 think that to have a fast handover from UE point of view for legacy UEs it is important that the target cell is known to the UE (detected and measured).</w:t>
      </w:r>
    </w:p>
    <w:p w14:paraId="6E507DD4" w14:textId="23EC9BFA" w:rsidR="00DE111F" w:rsidRDefault="00DE111F" w:rsidP="00DE111F">
      <w:pPr>
        <w:pStyle w:val="Agreement"/>
        <w:tabs>
          <w:tab w:val="clear" w:pos="2250"/>
          <w:tab w:val="num" w:pos="1619"/>
        </w:tabs>
        <w:ind w:left="1619"/>
      </w:pPr>
      <w:r>
        <w:t xml:space="preserve">For RACH-less, if supported, there would need to be a beam indication (in RRC HO command),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20F81DBC" w14:textId="77777777" w:rsidR="00DE111F" w:rsidRPr="00521742" w:rsidRDefault="00DE111F" w:rsidP="00DE111F">
      <w:pPr>
        <w:pStyle w:val="Agreement"/>
        <w:tabs>
          <w:tab w:val="clear" w:pos="2250"/>
          <w:tab w:val="num" w:pos="1619"/>
        </w:tabs>
        <w:ind w:left="1619"/>
        <w:rPr>
          <w:lang w:eastAsia="en-US"/>
        </w:rPr>
      </w:pPr>
      <w:r w:rsidRPr="00521742">
        <w:rPr>
          <w:lang w:eastAsia="en-US"/>
        </w:rPr>
        <w:t>for the UL grant and HO completion</w:t>
      </w:r>
      <w:r>
        <w:rPr>
          <w:lang w:eastAsia="en-US"/>
        </w:rPr>
        <w:t xml:space="preserve"> in RACH-less HO</w:t>
      </w:r>
      <w:r w:rsidRPr="00521742">
        <w:rPr>
          <w:lang w:eastAsia="en-US"/>
        </w:rPr>
        <w:t>:</w:t>
      </w:r>
    </w:p>
    <w:p w14:paraId="6999888A" w14:textId="77777777" w:rsidR="00DE111F" w:rsidRPr="00521742" w:rsidRDefault="00DE111F" w:rsidP="00DE111F">
      <w:pPr>
        <w:pStyle w:val="Agreement"/>
        <w:numPr>
          <w:ilvl w:val="0"/>
          <w:numId w:val="0"/>
        </w:numPr>
        <w:ind w:left="1619"/>
        <w:rPr>
          <w:lang w:eastAsia="en-US"/>
        </w:rPr>
      </w:pPr>
      <w:r w:rsidRPr="00521742">
        <w:rPr>
          <w:lang w:eastAsia="en-US"/>
        </w:rPr>
        <w:t>1. Both type-1 configured grant and dynamic grant are supported</w:t>
      </w:r>
    </w:p>
    <w:p w14:paraId="42180EC4" w14:textId="77777777" w:rsidR="00DE111F" w:rsidRDefault="00DE111F" w:rsidP="00DE111F">
      <w:pPr>
        <w:pStyle w:val="Agreement"/>
        <w:numPr>
          <w:ilvl w:val="0"/>
          <w:numId w:val="0"/>
        </w:numPr>
        <w:ind w:left="1619"/>
        <w:rPr>
          <w:rFonts w:eastAsia="Times New Roman"/>
          <w:szCs w:val="20"/>
          <w:lang w:eastAsia="en-US"/>
        </w:rPr>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59C72745" w14:textId="77777777" w:rsidR="00FB1241" w:rsidRPr="00FB1241" w:rsidRDefault="00FB1241" w:rsidP="00FB1241">
      <w:pPr>
        <w:pStyle w:val="Doc-text2"/>
        <w:rPr>
          <w:lang w:eastAsia="en-US"/>
        </w:rPr>
      </w:pPr>
    </w:p>
    <w:p w14:paraId="1EE4CB96" w14:textId="7F4DEA99" w:rsidR="00126D1D" w:rsidRPr="00DE111F" w:rsidRDefault="00126D1D" w:rsidP="00126D1D">
      <w:pPr>
        <w:pStyle w:val="NO"/>
        <w:ind w:left="0" w:firstLine="0"/>
        <w:rPr>
          <w:b/>
          <w:bCs/>
          <w:u w:val="single"/>
          <w:lang w:eastAsia="zh-CN"/>
        </w:rPr>
      </w:pPr>
      <w:r>
        <w:rPr>
          <w:b/>
          <w:bCs/>
          <w:u w:val="single"/>
          <w:lang w:eastAsia="zh-CN"/>
        </w:rPr>
        <w:t>RAN2#12</w:t>
      </w:r>
      <w:r w:rsidR="007A3C28">
        <w:rPr>
          <w:b/>
          <w:bCs/>
          <w:u w:val="single"/>
          <w:lang w:eastAsia="zh-CN"/>
        </w:rPr>
        <w:t>3</w:t>
      </w:r>
      <w:r w:rsidRPr="00DE111F">
        <w:rPr>
          <w:b/>
          <w:bCs/>
          <w:u w:val="single"/>
          <w:lang w:eastAsia="zh-CN"/>
        </w:rPr>
        <w:t>:</w:t>
      </w:r>
    </w:p>
    <w:p w14:paraId="7DB4F6D1" w14:textId="77777777" w:rsidR="00B55441" w:rsidRDefault="00B55441" w:rsidP="00B55441">
      <w:pPr>
        <w:pStyle w:val="Agreement"/>
        <w:tabs>
          <w:tab w:val="clear" w:pos="2250"/>
          <w:tab w:val="num" w:pos="1619"/>
        </w:tabs>
        <w:ind w:left="1619"/>
      </w:pPr>
      <w:r>
        <w:t xml:space="preserve">RACH-less HO to be supported for UEs connected to a </w:t>
      </w:r>
      <w:proofErr w:type="spellStart"/>
      <w:r>
        <w:t>mIAB</w:t>
      </w:r>
      <w:proofErr w:type="spellEnd"/>
      <w:r>
        <w:t xml:space="preserve"> node (intended case: DU migration)</w:t>
      </w:r>
    </w:p>
    <w:p w14:paraId="226DA6B0" w14:textId="77777777" w:rsidR="00B55441" w:rsidRDefault="00B55441" w:rsidP="00B55441">
      <w:pPr>
        <w:pStyle w:val="Agreement"/>
        <w:tabs>
          <w:tab w:val="clear" w:pos="2250"/>
          <w:tab w:val="num" w:pos="1619"/>
        </w:tabs>
        <w:ind w:left="1619"/>
      </w:pPr>
      <w:r>
        <w:t xml:space="preserve">RACH-less HO for </w:t>
      </w:r>
      <w:proofErr w:type="spellStart"/>
      <w:r>
        <w:t>mIAB</w:t>
      </w:r>
      <w:proofErr w:type="spellEnd"/>
      <w:r>
        <w:t xml:space="preserve"> is expected to reuse most parts from other WI, such as NTN. </w:t>
      </w:r>
    </w:p>
    <w:p w14:paraId="63A08407" w14:textId="77777777" w:rsidR="00B55441" w:rsidRDefault="00B55441" w:rsidP="00B55441">
      <w:pPr>
        <w:pStyle w:val="Agreement"/>
        <w:tabs>
          <w:tab w:val="clear" w:pos="2250"/>
          <w:tab w:val="num" w:pos="1619"/>
        </w:tabs>
        <w:ind w:left="1619"/>
      </w:pPr>
      <w:r>
        <w:t xml:space="preserve">R2 assumes that RACH-less HO for </w:t>
      </w:r>
      <w:proofErr w:type="spellStart"/>
      <w:r>
        <w:t>mIAB</w:t>
      </w:r>
      <w:proofErr w:type="spellEnd"/>
      <w:r>
        <w:t xml:space="preserve"> can largely adopt the steps of the agreed NTN RACH-less HO procedure:</w:t>
      </w:r>
    </w:p>
    <w:p w14:paraId="1FF5F56F" w14:textId="77777777" w:rsidR="00B55441" w:rsidRDefault="00B55441" w:rsidP="00B55441">
      <w:pPr>
        <w:pStyle w:val="Agreement"/>
        <w:numPr>
          <w:ilvl w:val="0"/>
          <w:numId w:val="0"/>
        </w:numPr>
        <w:ind w:left="1619"/>
      </w:pPr>
      <w:r>
        <w:t>1. Receive a RACH-less HO command which can include pre-allocated grant optionally</w:t>
      </w:r>
    </w:p>
    <w:p w14:paraId="39D56496" w14:textId="77777777" w:rsidR="00B55441" w:rsidRDefault="00B55441" w:rsidP="00B55441">
      <w:pPr>
        <w:pStyle w:val="Agreement"/>
        <w:numPr>
          <w:ilvl w:val="0"/>
          <w:numId w:val="0"/>
        </w:numPr>
        <w:ind w:left="1619"/>
      </w:pPr>
      <w:r>
        <w:t>2. Start time T304 for the target cell (RRC)</w:t>
      </w:r>
    </w:p>
    <w:p w14:paraId="4A80B059" w14:textId="77777777" w:rsidR="00B55441" w:rsidRDefault="00B55441" w:rsidP="00B55441">
      <w:pPr>
        <w:pStyle w:val="Agreement"/>
        <w:numPr>
          <w:ilvl w:val="0"/>
          <w:numId w:val="0"/>
        </w:numPr>
        <w:ind w:left="1619"/>
      </w:pPr>
      <w:r>
        <w:lastRenderedPageBreak/>
        <w:t>3. Perform DL and UL synchronization.</w:t>
      </w:r>
    </w:p>
    <w:p w14:paraId="45FA28B6" w14:textId="77777777" w:rsidR="00B55441" w:rsidRDefault="00B55441" w:rsidP="00B55441">
      <w:pPr>
        <w:pStyle w:val="Agreement"/>
        <w:numPr>
          <w:ilvl w:val="0"/>
          <w:numId w:val="0"/>
        </w:numPr>
        <w:ind w:left="1619"/>
      </w:pPr>
      <w:r>
        <w:t>4. Start time alignment timer (MAC)</w:t>
      </w:r>
    </w:p>
    <w:p w14:paraId="28F8BAEA" w14:textId="77777777" w:rsidR="00B55441" w:rsidRDefault="00B55441" w:rsidP="00B55441">
      <w:pPr>
        <w:pStyle w:val="Agreement"/>
        <w:numPr>
          <w:ilvl w:val="0"/>
          <w:numId w:val="0"/>
        </w:numPr>
        <w:ind w:left="1619"/>
      </w:pPr>
      <w:r>
        <w:t>5. Monitor target cell PDCCH for dynamic grant if pre-allocated grant is not configured in RACH-less HO command (MAC, PHY)</w:t>
      </w:r>
    </w:p>
    <w:p w14:paraId="692772F4" w14:textId="77777777" w:rsidR="00B55441" w:rsidRDefault="00B55441" w:rsidP="00B55441">
      <w:pPr>
        <w:pStyle w:val="Agreement"/>
        <w:numPr>
          <w:ilvl w:val="0"/>
          <w:numId w:val="0"/>
        </w:numPr>
        <w:ind w:left="1619"/>
      </w:pPr>
      <w:r>
        <w:t xml:space="preserve">6. Send initial UL transmission including </w:t>
      </w:r>
      <w:proofErr w:type="spellStart"/>
      <w:r>
        <w:t>RRCReconfigurationComplete</w:t>
      </w:r>
      <w:proofErr w:type="spellEnd"/>
      <w:r>
        <w:t xml:space="preserve"> message using the available UL grant (RRC, MAC, PHY)</w:t>
      </w:r>
    </w:p>
    <w:p w14:paraId="2971F394" w14:textId="77777777" w:rsidR="00B55441" w:rsidRDefault="00B55441" w:rsidP="00B55441">
      <w:pPr>
        <w:pStyle w:val="Agreement"/>
        <w:numPr>
          <w:ilvl w:val="0"/>
          <w:numId w:val="0"/>
        </w:numPr>
        <w:ind w:left="1619"/>
      </w:pPr>
      <w:r>
        <w:t>7. Consider RACH-less HO is completed upon receiving NW configuration.</w:t>
      </w:r>
    </w:p>
    <w:p w14:paraId="139A2EB0" w14:textId="77777777" w:rsidR="00B55441" w:rsidRDefault="00B55441" w:rsidP="00FF3B4A">
      <w:pPr>
        <w:pStyle w:val="Agreement"/>
        <w:numPr>
          <w:ilvl w:val="0"/>
          <w:numId w:val="0"/>
        </w:numPr>
        <w:spacing w:after="180"/>
        <w:ind w:left="1619"/>
      </w:pPr>
      <w:r>
        <w:t>8. Stop timer T304 for the target cell (RRC).</w:t>
      </w:r>
    </w:p>
    <w:p w14:paraId="508C6C41" w14:textId="164D1526" w:rsidR="00FF3B4A" w:rsidRDefault="00FF3B4A" w:rsidP="00DC08DC">
      <w:pPr>
        <w:pStyle w:val="NO"/>
        <w:ind w:left="0" w:firstLine="0"/>
        <w:rPr>
          <w:lang w:eastAsia="zh-CN"/>
        </w:rPr>
      </w:pPr>
      <w:r>
        <w:rPr>
          <w:lang w:eastAsia="zh-CN"/>
        </w:rPr>
        <w:t xml:space="preserve">Thus, </w:t>
      </w:r>
      <w:r>
        <w:t xml:space="preserve">reuse of NR NTN RACH-less handover is assumed. Please note that NTN has endorsed RRC running CR in [4] and MAC running CR in [5]. </w:t>
      </w:r>
    </w:p>
    <w:p w14:paraId="6015D9E1" w14:textId="3C220ACB" w:rsidR="00201E9F" w:rsidRDefault="00DC08DC" w:rsidP="00DC08DC">
      <w:pPr>
        <w:pStyle w:val="NO"/>
        <w:ind w:left="0" w:firstLine="0"/>
        <w:rPr>
          <w:lang w:eastAsia="zh-CN"/>
        </w:rPr>
      </w:pPr>
      <w:r>
        <w:rPr>
          <w:lang w:eastAsia="zh-CN"/>
        </w:rPr>
        <w:t xml:space="preserve">In this contribution, we share our view on </w:t>
      </w:r>
      <w:r w:rsidR="00FF3B4A">
        <w:rPr>
          <w:lang w:eastAsia="zh-CN"/>
        </w:rPr>
        <w:t>below issues:</w:t>
      </w:r>
    </w:p>
    <w:p w14:paraId="35408B23" w14:textId="4A6E2B0B" w:rsidR="00FF3B4A" w:rsidRDefault="00FF3B4A" w:rsidP="00FF3B4A">
      <w:pPr>
        <w:pStyle w:val="NO"/>
        <w:numPr>
          <w:ilvl w:val="0"/>
          <w:numId w:val="83"/>
        </w:numPr>
        <w:rPr>
          <w:lang w:eastAsia="zh-CN"/>
        </w:rPr>
      </w:pPr>
      <w:r>
        <w:rPr>
          <w:lang w:eastAsia="zh-CN"/>
        </w:rPr>
        <w:t>Specification changes on top of NTN running CRs</w:t>
      </w:r>
    </w:p>
    <w:p w14:paraId="56E03DF1" w14:textId="5C5FF743" w:rsidR="00AE0089" w:rsidRDefault="00FF3B4A" w:rsidP="00FF3B4A">
      <w:pPr>
        <w:pStyle w:val="NO"/>
        <w:numPr>
          <w:ilvl w:val="0"/>
          <w:numId w:val="83"/>
        </w:numPr>
        <w:rPr>
          <w:lang w:eastAsia="zh-CN"/>
        </w:rPr>
      </w:pPr>
      <w:r>
        <w:rPr>
          <w:lang w:eastAsia="zh-CN"/>
        </w:rPr>
        <w:t xml:space="preserve">Remaining issues </w:t>
      </w:r>
      <w:r w:rsidR="000949E7">
        <w:rPr>
          <w:lang w:eastAsia="zh-CN"/>
        </w:rPr>
        <w:t>on RACH-less HO</w:t>
      </w:r>
    </w:p>
    <w:p w14:paraId="5E18A669" w14:textId="4B58E280" w:rsidR="00034494" w:rsidRDefault="00034494" w:rsidP="00FF3B4A">
      <w:pPr>
        <w:pStyle w:val="NO"/>
        <w:numPr>
          <w:ilvl w:val="0"/>
          <w:numId w:val="83"/>
        </w:numPr>
        <w:rPr>
          <w:lang w:eastAsia="zh-CN"/>
        </w:rPr>
      </w:pPr>
      <w:r>
        <w:rPr>
          <w:lang w:eastAsia="zh-CN"/>
        </w:rPr>
        <w:t>Remaining issues on CHO enhancement</w:t>
      </w:r>
    </w:p>
    <w:p w14:paraId="1D39CDA6" w14:textId="585E82EF" w:rsidR="00034494" w:rsidRDefault="00034494" w:rsidP="00FF3B4A">
      <w:pPr>
        <w:pStyle w:val="NO"/>
        <w:numPr>
          <w:ilvl w:val="0"/>
          <w:numId w:val="83"/>
        </w:numPr>
        <w:rPr>
          <w:lang w:eastAsia="zh-CN"/>
        </w:rPr>
      </w:pPr>
      <w:r>
        <w:rPr>
          <w:lang w:eastAsia="zh-CN"/>
        </w:rPr>
        <w:t xml:space="preserve">Remaining issues on </w:t>
      </w:r>
      <w:r w:rsidR="00FB2C60">
        <w:rPr>
          <w:lang w:eastAsia="zh-CN"/>
        </w:rPr>
        <w:t xml:space="preserve">UE </w:t>
      </w:r>
      <w:r>
        <w:rPr>
          <w:lang w:eastAsia="zh-CN"/>
        </w:rPr>
        <w:t xml:space="preserve">capability </w:t>
      </w:r>
    </w:p>
    <w:bookmarkEnd w:id="2"/>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0667CD5E" w14:textId="2B2D2BEB" w:rsidR="00C83007" w:rsidRPr="00C83007" w:rsidRDefault="00C83007" w:rsidP="00C83007">
      <w:pPr>
        <w:pStyle w:val="Heading2"/>
        <w:rPr>
          <w:lang w:val="en-US"/>
        </w:rPr>
      </w:pPr>
      <w:r>
        <w:t xml:space="preserve">2.1 </w:t>
      </w:r>
      <w:r>
        <w:rPr>
          <w:lang w:eastAsia="zh-CN"/>
        </w:rPr>
        <w:t>Specification changes on top of NTN running CRs</w:t>
      </w:r>
    </w:p>
    <w:p w14:paraId="29CCFFE5" w14:textId="5BBC7D1C" w:rsidR="00F11334" w:rsidRDefault="00F11334" w:rsidP="00F11334">
      <w:pPr>
        <w:pStyle w:val="NO"/>
        <w:ind w:left="0" w:firstLine="0"/>
        <w:rPr>
          <w:lang w:eastAsia="zh-CN"/>
        </w:rPr>
      </w:pPr>
      <w:r>
        <w:t xml:space="preserve">After reviewing NTN endorsed RRC running CR in [4] and MAC running CR in [5], we think most of part can be reused, and only minor changes are required. The specific changes are provided in followed two sub-sections. </w:t>
      </w:r>
    </w:p>
    <w:p w14:paraId="7C8EABF9" w14:textId="19D28310" w:rsidR="00C83007" w:rsidRPr="00C83007" w:rsidRDefault="0094388E" w:rsidP="0094388E">
      <w:pPr>
        <w:pStyle w:val="Heading3"/>
        <w:rPr>
          <w:lang w:eastAsia="zh-CN"/>
        </w:rPr>
      </w:pPr>
      <w:r>
        <w:rPr>
          <w:lang w:eastAsia="zh-CN"/>
        </w:rPr>
        <w:t xml:space="preserve">2.1.1 RRC specification changes on top of </w:t>
      </w:r>
      <w:r w:rsidRPr="0094388E">
        <w:rPr>
          <w:lang w:eastAsia="zh-CN"/>
        </w:rPr>
        <w:t>R2-2309341</w:t>
      </w:r>
    </w:p>
    <w:p w14:paraId="323E6555" w14:textId="56B63E21" w:rsidR="00B42483" w:rsidRDefault="004F03BF" w:rsidP="0033712C">
      <w:pPr>
        <w:rPr>
          <w:color w:val="auto"/>
        </w:rPr>
      </w:pPr>
      <w:bookmarkStart w:id="3" w:name="_Ref54102585"/>
      <w:bookmarkStart w:id="4" w:name="_Ref54102582"/>
      <w:r>
        <w:rPr>
          <w:color w:val="auto"/>
        </w:rPr>
        <w:t>We</w:t>
      </w:r>
      <w:r w:rsidR="000A1E37">
        <w:rPr>
          <w:color w:val="auto"/>
        </w:rPr>
        <w:t xml:space="preserve"> think </w:t>
      </w:r>
      <w:r w:rsidR="00404110">
        <w:rPr>
          <w:color w:val="auto"/>
        </w:rPr>
        <w:t>only</w:t>
      </w:r>
      <w:r w:rsidR="000A1E37">
        <w:rPr>
          <w:color w:val="auto"/>
        </w:rPr>
        <w:t xml:space="preserve"> changes on RACH-less configuration in </w:t>
      </w:r>
      <w:proofErr w:type="spellStart"/>
      <w:r w:rsidR="000A1E37" w:rsidRPr="000A1E37">
        <w:rPr>
          <w:i/>
          <w:iCs/>
        </w:rPr>
        <w:t>ReconfigurationWithSync</w:t>
      </w:r>
      <w:proofErr w:type="spellEnd"/>
      <w:r w:rsidR="000A1E37">
        <w:rPr>
          <w:color w:val="auto"/>
        </w:rPr>
        <w:t xml:space="preserve"> are needed. The corresponding part in [4] is coped below for reference:</w:t>
      </w:r>
    </w:p>
    <w:p w14:paraId="7E48A0DD" w14:textId="77777777" w:rsidR="000A1E37" w:rsidRPr="000A1E37" w:rsidRDefault="000A1E37" w:rsidP="000A1E37">
      <w:pPr>
        <w:pStyle w:val="PL"/>
        <w:rPr>
          <w:sz w:val="13"/>
          <w:szCs w:val="16"/>
        </w:rPr>
      </w:pPr>
      <w:r w:rsidRPr="000A1E37">
        <w:rPr>
          <w:sz w:val="13"/>
          <w:szCs w:val="16"/>
        </w:rPr>
        <w:t>RACH-LessHO-r18 ::=             SEQUENCE {</w:t>
      </w:r>
    </w:p>
    <w:p w14:paraId="43503AE4" w14:textId="77777777" w:rsidR="000A1E37" w:rsidRPr="000A1E37" w:rsidRDefault="000A1E37" w:rsidP="000A1E37">
      <w:pPr>
        <w:pStyle w:val="PL"/>
        <w:rPr>
          <w:sz w:val="13"/>
          <w:szCs w:val="16"/>
        </w:rPr>
      </w:pPr>
      <w:r w:rsidRPr="000A1E37">
        <w:rPr>
          <w:sz w:val="13"/>
          <w:szCs w:val="16"/>
        </w:rPr>
        <w:t xml:space="preserve">    ntn-Rach-LessHO-r18                SEQUENCE {</w:t>
      </w:r>
    </w:p>
    <w:p w14:paraId="77F0195D" w14:textId="77777777" w:rsidR="000A1E37" w:rsidRPr="000A1E37" w:rsidRDefault="000A1E37" w:rsidP="000A1E37">
      <w:pPr>
        <w:pStyle w:val="PL"/>
        <w:rPr>
          <w:sz w:val="13"/>
          <w:szCs w:val="16"/>
        </w:rPr>
      </w:pPr>
      <w:r w:rsidRPr="000A1E37">
        <w:rPr>
          <w:sz w:val="13"/>
          <w:szCs w:val="16"/>
        </w:rPr>
        <w:t xml:space="preserve">        </w:t>
      </w:r>
      <w:bookmarkStart w:id="5" w:name="OLE_LINK22"/>
      <w:r w:rsidRPr="000A1E37">
        <w:rPr>
          <w:sz w:val="13"/>
          <w:szCs w:val="16"/>
        </w:rPr>
        <w:t>targetNTA</w:t>
      </w:r>
      <w:bookmarkEnd w:id="5"/>
      <w:r w:rsidRPr="000A1E37">
        <w:rPr>
          <w:sz w:val="13"/>
          <w:szCs w:val="16"/>
        </w:rPr>
        <w:t>-r18                      ENUMERATED {zero, source},</w:t>
      </w:r>
    </w:p>
    <w:p w14:paraId="5109EB23" w14:textId="77777777" w:rsidR="000A1E37" w:rsidRPr="000A1E37" w:rsidRDefault="000A1E37" w:rsidP="000A1E37">
      <w:pPr>
        <w:pStyle w:val="PL"/>
        <w:rPr>
          <w:sz w:val="13"/>
          <w:szCs w:val="16"/>
        </w:rPr>
      </w:pPr>
      <w:r w:rsidRPr="000A1E37">
        <w:rPr>
          <w:sz w:val="13"/>
          <w:szCs w:val="16"/>
        </w:rPr>
        <w:t xml:space="preserve">        </w:t>
      </w:r>
      <w:bookmarkStart w:id="6" w:name="OLE_LINK14"/>
      <w:r w:rsidRPr="000A1E37">
        <w:rPr>
          <w:sz w:val="13"/>
          <w:szCs w:val="16"/>
        </w:rPr>
        <w:t>ulGrantInfo-r18</w:t>
      </w:r>
      <w:bookmarkEnd w:id="6"/>
      <w:r w:rsidRPr="000A1E37">
        <w:rPr>
          <w:sz w:val="13"/>
          <w:szCs w:val="16"/>
        </w:rPr>
        <w:t xml:space="preserve">                    SEQUENCE {</w:t>
      </w:r>
    </w:p>
    <w:p w14:paraId="048E7C34" w14:textId="77777777" w:rsidR="000A1E37" w:rsidRPr="000A1E37" w:rsidRDefault="000A1E37" w:rsidP="000A1E37">
      <w:pPr>
        <w:pStyle w:val="PL"/>
        <w:rPr>
          <w:sz w:val="13"/>
          <w:szCs w:val="16"/>
        </w:rPr>
      </w:pPr>
      <w:r w:rsidRPr="000A1E37">
        <w:rPr>
          <w:sz w:val="13"/>
          <w:szCs w:val="16"/>
        </w:rPr>
        <w:t xml:space="preserve">            ulGrantConfig-r18                  </w:t>
      </w:r>
      <w:bookmarkStart w:id="7" w:name="OLE_LINK6"/>
      <w:r w:rsidRPr="000A1E37">
        <w:rPr>
          <w:sz w:val="13"/>
          <w:szCs w:val="16"/>
        </w:rPr>
        <w:t>ConfiguredGrantConfig</w:t>
      </w:r>
      <w:bookmarkEnd w:id="7"/>
      <w:r w:rsidRPr="000A1E37">
        <w:rPr>
          <w:sz w:val="13"/>
          <w:szCs w:val="16"/>
        </w:rPr>
        <w:t>,</w:t>
      </w:r>
    </w:p>
    <w:p w14:paraId="693F8C3D" w14:textId="77777777" w:rsidR="000A1E37" w:rsidRPr="000A1E37" w:rsidRDefault="000A1E37" w:rsidP="000A1E37">
      <w:pPr>
        <w:pStyle w:val="PL"/>
        <w:rPr>
          <w:sz w:val="13"/>
          <w:szCs w:val="16"/>
        </w:rPr>
      </w:pPr>
      <w:r w:rsidRPr="000A1E37">
        <w:rPr>
          <w:sz w:val="13"/>
          <w:szCs w:val="16"/>
        </w:rPr>
        <w:t xml:space="preserve">            ntn-RSRP-ThresholdSSB-r18          RSRP-Range,</w:t>
      </w:r>
    </w:p>
    <w:p w14:paraId="45F3E696" w14:textId="77777777" w:rsidR="000A1E37" w:rsidRPr="000A1E37" w:rsidRDefault="000A1E37" w:rsidP="000A1E37">
      <w:pPr>
        <w:pStyle w:val="PL"/>
        <w:rPr>
          <w:color w:val="808080"/>
          <w:sz w:val="13"/>
          <w:szCs w:val="16"/>
        </w:rPr>
      </w:pPr>
      <w:r w:rsidRPr="000A1E37">
        <w:rPr>
          <w:sz w:val="13"/>
          <w:szCs w:val="16"/>
        </w:rPr>
        <w:t xml:space="preserve">            ntn-SSB-PerCG-PUSCH-r17            </w:t>
      </w:r>
      <w:r w:rsidRPr="000A1E37">
        <w:rPr>
          <w:color w:val="993366"/>
          <w:sz w:val="13"/>
          <w:szCs w:val="16"/>
        </w:rPr>
        <w:t>ENUMERATED</w:t>
      </w:r>
      <w:r w:rsidRPr="000A1E37">
        <w:rPr>
          <w:sz w:val="13"/>
          <w:szCs w:val="16"/>
        </w:rPr>
        <w:t xml:space="preserve"> {oneEighth, oneFourth, half, one, two, four, eight, sixteen},</w:t>
      </w:r>
    </w:p>
    <w:p w14:paraId="38E1EDF2" w14:textId="77777777" w:rsidR="000A1E37" w:rsidRPr="000A1E37" w:rsidRDefault="000A1E37" w:rsidP="000A1E37">
      <w:pPr>
        <w:pStyle w:val="PL"/>
        <w:rPr>
          <w:sz w:val="13"/>
          <w:szCs w:val="16"/>
        </w:rPr>
      </w:pPr>
      <w:r w:rsidRPr="000A1E37">
        <w:rPr>
          <w:sz w:val="13"/>
          <w:szCs w:val="16"/>
        </w:rPr>
        <w:t xml:space="preserve">            ntn-SSB-Subset-r18                 CHOICE {</w:t>
      </w:r>
    </w:p>
    <w:p w14:paraId="4E723481" w14:textId="77777777" w:rsidR="000A1E37" w:rsidRPr="000A1E37" w:rsidRDefault="000A1E37" w:rsidP="000A1E37">
      <w:pPr>
        <w:pStyle w:val="PL"/>
        <w:rPr>
          <w:sz w:val="13"/>
          <w:szCs w:val="16"/>
        </w:rPr>
      </w:pPr>
      <w:r w:rsidRPr="000A1E37">
        <w:rPr>
          <w:sz w:val="13"/>
          <w:szCs w:val="16"/>
        </w:rPr>
        <w:t xml:space="preserve">              shortBitmap-r18                      BIT STRING (SIZE (4)),</w:t>
      </w:r>
    </w:p>
    <w:p w14:paraId="0E551FAB" w14:textId="77777777" w:rsidR="000A1E37" w:rsidRPr="000A1E37" w:rsidRDefault="000A1E37" w:rsidP="000A1E37">
      <w:pPr>
        <w:pStyle w:val="PL"/>
        <w:rPr>
          <w:sz w:val="13"/>
          <w:szCs w:val="16"/>
        </w:rPr>
      </w:pPr>
      <w:r w:rsidRPr="000A1E37">
        <w:rPr>
          <w:sz w:val="13"/>
          <w:szCs w:val="16"/>
        </w:rPr>
        <w:t xml:space="preserve">              mediumBitmap-r18                     BIT STRING (SIZE (8)),</w:t>
      </w:r>
    </w:p>
    <w:p w14:paraId="72AC9EB0" w14:textId="77777777" w:rsidR="000A1E37" w:rsidRPr="000A1E37" w:rsidRDefault="000A1E37" w:rsidP="000A1E37">
      <w:pPr>
        <w:pStyle w:val="PL"/>
        <w:rPr>
          <w:sz w:val="13"/>
          <w:szCs w:val="16"/>
        </w:rPr>
      </w:pPr>
      <w:r w:rsidRPr="000A1E37">
        <w:rPr>
          <w:sz w:val="13"/>
          <w:szCs w:val="16"/>
        </w:rPr>
        <w:t xml:space="preserve">              longBitmap-r18                       BIT STRING (SIZE (64))</w:t>
      </w:r>
    </w:p>
    <w:p w14:paraId="6350AF49" w14:textId="77777777" w:rsidR="000A1E37" w:rsidRPr="000A1E37" w:rsidRDefault="000A1E37" w:rsidP="000A1E37">
      <w:pPr>
        <w:pStyle w:val="PL"/>
        <w:rPr>
          <w:sz w:val="13"/>
          <w:szCs w:val="16"/>
        </w:rPr>
      </w:pPr>
      <w:r w:rsidRPr="000A1E37">
        <w:rPr>
          <w:sz w:val="13"/>
          <w:szCs w:val="16"/>
        </w:rPr>
        <w:t xml:space="preserve">            },</w:t>
      </w:r>
    </w:p>
    <w:p w14:paraId="29616C32" w14:textId="77777777" w:rsidR="000A1E37" w:rsidRPr="000A1E37" w:rsidRDefault="000A1E37" w:rsidP="000A1E37">
      <w:pPr>
        <w:pStyle w:val="PL"/>
        <w:rPr>
          <w:sz w:val="13"/>
          <w:szCs w:val="16"/>
        </w:rPr>
      </w:pPr>
      <w:r w:rsidRPr="000A1E37">
        <w:rPr>
          <w:sz w:val="13"/>
          <w:szCs w:val="16"/>
        </w:rPr>
        <w:t xml:space="preserve">            ntn-DMRS-Ports-r17                 CHOICE {</w:t>
      </w:r>
    </w:p>
    <w:p w14:paraId="19808A7D" w14:textId="77777777" w:rsidR="000A1E37" w:rsidRPr="000A1E37" w:rsidRDefault="000A1E37" w:rsidP="000A1E37">
      <w:pPr>
        <w:pStyle w:val="PL"/>
        <w:rPr>
          <w:sz w:val="13"/>
          <w:szCs w:val="16"/>
        </w:rPr>
      </w:pPr>
      <w:r w:rsidRPr="000A1E37">
        <w:rPr>
          <w:sz w:val="13"/>
          <w:szCs w:val="16"/>
        </w:rPr>
        <w:t xml:space="preserve">              dmrsType1-r17                        BIT STRING (SIZE (8)),</w:t>
      </w:r>
    </w:p>
    <w:p w14:paraId="734DAC75" w14:textId="77777777" w:rsidR="000A1E37" w:rsidRPr="000A1E37" w:rsidRDefault="000A1E37" w:rsidP="000A1E37">
      <w:pPr>
        <w:pStyle w:val="PL"/>
        <w:rPr>
          <w:sz w:val="13"/>
          <w:szCs w:val="16"/>
        </w:rPr>
      </w:pPr>
      <w:r w:rsidRPr="000A1E37">
        <w:rPr>
          <w:sz w:val="13"/>
          <w:szCs w:val="16"/>
        </w:rPr>
        <w:t xml:space="preserve">              dmrsType2-r17                        BIT STRING (SIZE (12))</w:t>
      </w:r>
    </w:p>
    <w:p w14:paraId="05DDF68C" w14:textId="77777777" w:rsidR="000A1E37" w:rsidRPr="000A1E37" w:rsidRDefault="000A1E37" w:rsidP="000A1E37">
      <w:pPr>
        <w:pStyle w:val="PL"/>
        <w:rPr>
          <w:sz w:val="13"/>
          <w:szCs w:val="16"/>
        </w:rPr>
      </w:pPr>
      <w:r w:rsidRPr="000A1E37">
        <w:rPr>
          <w:sz w:val="13"/>
          <w:szCs w:val="16"/>
        </w:rPr>
        <w:t xml:space="preserve">            },</w:t>
      </w:r>
    </w:p>
    <w:p w14:paraId="2F481DDF" w14:textId="77777777" w:rsidR="000A1E37" w:rsidRPr="000A1E37" w:rsidRDefault="000A1E37" w:rsidP="000A1E37">
      <w:pPr>
        <w:pStyle w:val="PL"/>
        <w:rPr>
          <w:sz w:val="13"/>
          <w:szCs w:val="16"/>
        </w:rPr>
      </w:pPr>
      <w:r w:rsidRPr="000A1E37">
        <w:rPr>
          <w:sz w:val="13"/>
          <w:szCs w:val="16"/>
        </w:rPr>
        <w:t xml:space="preserve">            ntn-NrofDMRS-Sequences-r17         INTEGER (1..2)</w:t>
      </w:r>
    </w:p>
    <w:p w14:paraId="7CAEB2A6" w14:textId="77777777" w:rsidR="000A1E37" w:rsidRPr="000A1E37" w:rsidRDefault="000A1E37" w:rsidP="000A1E37">
      <w:pPr>
        <w:pStyle w:val="PL"/>
        <w:rPr>
          <w:sz w:val="13"/>
          <w:szCs w:val="16"/>
        </w:rPr>
      </w:pPr>
      <w:r w:rsidRPr="000A1E37">
        <w:rPr>
          <w:sz w:val="13"/>
          <w:szCs w:val="16"/>
        </w:rPr>
        <w:t xml:space="preserve">        }                                                                                   OPTIONAL    -- Need R</w:t>
      </w:r>
    </w:p>
    <w:p w14:paraId="550884D0" w14:textId="77777777" w:rsidR="000A1E37" w:rsidRPr="000A1E37" w:rsidRDefault="000A1E37" w:rsidP="000A1E37">
      <w:pPr>
        <w:pStyle w:val="PL"/>
        <w:rPr>
          <w:sz w:val="13"/>
          <w:szCs w:val="16"/>
        </w:rPr>
      </w:pPr>
      <w:r w:rsidRPr="000A1E37">
        <w:rPr>
          <w:sz w:val="13"/>
          <w:szCs w:val="16"/>
        </w:rPr>
        <w:t xml:space="preserve">    }                                                                                       OPTIONAL,   -- Need R</w:t>
      </w:r>
    </w:p>
    <w:p w14:paraId="42DBF8CD" w14:textId="77777777" w:rsidR="000A1E37" w:rsidRPr="000A1E37" w:rsidRDefault="000A1E37" w:rsidP="000A1E37">
      <w:pPr>
        <w:pStyle w:val="PL"/>
        <w:rPr>
          <w:sz w:val="13"/>
          <w:szCs w:val="16"/>
        </w:rPr>
      </w:pPr>
      <w:r w:rsidRPr="000A1E37">
        <w:rPr>
          <w:sz w:val="13"/>
          <w:szCs w:val="16"/>
        </w:rPr>
        <w:t xml:space="preserve">    ...</w:t>
      </w:r>
    </w:p>
    <w:tbl>
      <w:tblPr>
        <w:tblStyle w:val="TableGrid"/>
        <w:tblpPr w:leftFromText="180" w:rightFromText="180" w:vertAnchor="text" w:horzAnchor="margin" w:tblpY="620"/>
        <w:tblW w:w="9639" w:type="dxa"/>
        <w:tblLook w:val="04A0" w:firstRow="1" w:lastRow="0" w:firstColumn="1" w:lastColumn="0" w:noHBand="0" w:noVBand="1"/>
      </w:tblPr>
      <w:tblGrid>
        <w:gridCol w:w="9639"/>
      </w:tblGrid>
      <w:tr w:rsidR="000A1E37" w14:paraId="6C9CA675" w14:textId="77777777" w:rsidTr="000A1E37">
        <w:tc>
          <w:tcPr>
            <w:tcW w:w="9639" w:type="dxa"/>
          </w:tcPr>
          <w:p w14:paraId="0BCDAE19" w14:textId="77777777" w:rsidR="000A1E37" w:rsidRDefault="000A1E37" w:rsidP="000A1E37">
            <w:pPr>
              <w:pStyle w:val="TAH"/>
            </w:pPr>
            <w:r>
              <w:rPr>
                <w:i/>
              </w:rPr>
              <w:t>RACH-</w:t>
            </w:r>
            <w:proofErr w:type="spellStart"/>
            <w:r>
              <w:rPr>
                <w:i/>
              </w:rPr>
              <w:t>LessHO</w:t>
            </w:r>
            <w:proofErr w:type="spellEnd"/>
            <w:r>
              <w:rPr>
                <w:i/>
              </w:rPr>
              <w:t xml:space="preserve"> </w:t>
            </w:r>
            <w:r>
              <w:t>field descriptions</w:t>
            </w:r>
          </w:p>
        </w:tc>
      </w:tr>
      <w:tr w:rsidR="000A1E37" w14:paraId="1E7078B8" w14:textId="77777777" w:rsidTr="000A1E37">
        <w:tc>
          <w:tcPr>
            <w:tcW w:w="9639" w:type="dxa"/>
          </w:tcPr>
          <w:p w14:paraId="50AACB3E" w14:textId="77777777" w:rsidR="000A1E37" w:rsidRDefault="000A1E37" w:rsidP="000A1E37">
            <w:pPr>
              <w:pStyle w:val="TAL"/>
              <w:rPr>
                <w:b/>
                <w:i/>
              </w:rPr>
            </w:pPr>
            <w:proofErr w:type="spellStart"/>
            <w:r>
              <w:rPr>
                <w:b/>
                <w:i/>
              </w:rPr>
              <w:t>targetNTA</w:t>
            </w:r>
            <w:proofErr w:type="spellEnd"/>
          </w:p>
          <w:p w14:paraId="4343E336" w14:textId="77777777" w:rsidR="000A1E37" w:rsidRDefault="000A1E37" w:rsidP="000A1E37">
            <w:pPr>
              <w:pStyle w:val="TAL"/>
              <w:rPr>
                <w:bCs/>
                <w:iCs/>
              </w:rPr>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w:t>
            </w:r>
          </w:p>
        </w:tc>
      </w:tr>
      <w:tr w:rsidR="000A1E37" w14:paraId="2019A9E3" w14:textId="77777777" w:rsidTr="000A1E37">
        <w:tc>
          <w:tcPr>
            <w:tcW w:w="9639" w:type="dxa"/>
          </w:tcPr>
          <w:p w14:paraId="5BD3E61C" w14:textId="77777777" w:rsidR="000A1E37" w:rsidRDefault="000A1E37" w:rsidP="000A1E37">
            <w:pPr>
              <w:pStyle w:val="TAL"/>
              <w:rPr>
                <w:b/>
                <w:bCs/>
                <w:i/>
                <w:iCs/>
                <w:szCs w:val="22"/>
                <w:lang w:eastAsia="sv-SE"/>
              </w:rPr>
            </w:pPr>
            <w:proofErr w:type="spellStart"/>
            <w:r>
              <w:rPr>
                <w:b/>
                <w:bCs/>
                <w:i/>
                <w:iCs/>
                <w:szCs w:val="22"/>
                <w:lang w:eastAsia="sv-SE"/>
              </w:rPr>
              <w:t>ulGrantConfig</w:t>
            </w:r>
            <w:proofErr w:type="spellEnd"/>
          </w:p>
          <w:p w14:paraId="6B2FB402" w14:textId="77777777" w:rsidR="000A1E37" w:rsidRDefault="000A1E37" w:rsidP="000A1E37">
            <w:pPr>
              <w:pStyle w:val="TAL"/>
              <w:rPr>
                <w:b/>
                <w:iCs/>
              </w:rPr>
            </w:pPr>
            <w:r>
              <w:rPr>
                <w:szCs w:val="22"/>
                <w:lang w:eastAsia="sv-SE"/>
              </w:rPr>
              <w:t xml:space="preserve">A </w:t>
            </w:r>
            <w:r>
              <w:rPr>
                <w:i/>
                <w:lang w:eastAsia="sv-SE"/>
              </w:rPr>
              <w:t>Configured-Grant</w:t>
            </w:r>
            <w:r>
              <w:rPr>
                <w:szCs w:val="22"/>
                <w:lang w:eastAsia="sv-SE"/>
              </w:rPr>
              <w:t xml:space="preserve"> of </w:t>
            </w:r>
            <w:r>
              <w:rPr>
                <w:i/>
                <w:lang w:eastAsia="sv-SE"/>
              </w:rPr>
              <w:t>typ</w:t>
            </w:r>
            <w:r>
              <w:rPr>
                <w:i/>
                <w:szCs w:val="22"/>
                <w:lang w:eastAsia="sv-SE"/>
              </w:rPr>
              <w:t>e</w:t>
            </w:r>
            <w:r>
              <w:rPr>
                <w:i/>
                <w:lang w:eastAsia="sv-SE"/>
              </w:rPr>
              <w:t>1</w:t>
            </w:r>
            <w:r>
              <w:rPr>
                <w:iCs/>
                <w:lang w:eastAsia="sv-SE"/>
              </w:rPr>
              <w:t xml:space="preserve"> for the target cell. </w:t>
            </w:r>
          </w:p>
        </w:tc>
      </w:tr>
      <w:tr w:rsidR="000A1E37" w14:paraId="3D529714" w14:textId="77777777" w:rsidTr="000A1E37">
        <w:tc>
          <w:tcPr>
            <w:tcW w:w="9639" w:type="dxa"/>
          </w:tcPr>
          <w:p w14:paraId="1397385E" w14:textId="77777777" w:rsidR="000A1E37" w:rsidRDefault="000A1E37" w:rsidP="000A1E37">
            <w:pPr>
              <w:pStyle w:val="TAL"/>
              <w:rPr>
                <w:szCs w:val="22"/>
                <w:lang w:eastAsia="sv-SE"/>
              </w:rPr>
            </w:pPr>
            <w:proofErr w:type="spellStart"/>
            <w:r>
              <w:rPr>
                <w:b/>
                <w:i/>
                <w:szCs w:val="22"/>
                <w:lang w:eastAsia="sv-SE"/>
              </w:rPr>
              <w:t>ntn</w:t>
            </w:r>
            <w:proofErr w:type="spellEnd"/>
            <w:r>
              <w:rPr>
                <w:b/>
                <w:i/>
                <w:szCs w:val="22"/>
                <w:lang w:eastAsia="sv-SE"/>
              </w:rPr>
              <w:t>-DMRS-Ports</w:t>
            </w:r>
          </w:p>
          <w:p w14:paraId="2B5A2BE4" w14:textId="77777777" w:rsidR="000A1E37" w:rsidRDefault="000A1E37" w:rsidP="000A1E37">
            <w:pPr>
              <w:pStyle w:val="TAL"/>
              <w:rPr>
                <w:b/>
                <w:i/>
              </w:rPr>
            </w:pPr>
            <w:r>
              <w:rPr>
                <w:szCs w:val="22"/>
                <w:lang w:eastAsia="sv-SE"/>
              </w:rPr>
              <w:lastRenderedPageBreak/>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this DMRS port is used for mapping.</w:t>
            </w:r>
          </w:p>
        </w:tc>
      </w:tr>
      <w:tr w:rsidR="000A1E37" w14:paraId="588463E0" w14:textId="77777777" w:rsidTr="000A1E37">
        <w:tc>
          <w:tcPr>
            <w:tcW w:w="9639" w:type="dxa"/>
          </w:tcPr>
          <w:p w14:paraId="247ABE86" w14:textId="77777777" w:rsidR="000A1E37" w:rsidRDefault="000A1E37" w:rsidP="000A1E37">
            <w:pPr>
              <w:pStyle w:val="TAL"/>
              <w:rPr>
                <w:b/>
                <w:i/>
                <w:szCs w:val="22"/>
                <w:lang w:eastAsia="sv-SE"/>
              </w:rPr>
            </w:pPr>
            <w:proofErr w:type="spellStart"/>
            <w:r>
              <w:rPr>
                <w:b/>
                <w:i/>
                <w:szCs w:val="22"/>
                <w:lang w:eastAsia="sv-SE"/>
              </w:rPr>
              <w:lastRenderedPageBreak/>
              <w:t>ntn</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13EBCF82" w14:textId="77777777" w:rsidR="000A1E37" w:rsidRDefault="000A1E37" w:rsidP="000A1E37">
            <w:pPr>
              <w:pStyle w:val="TAL"/>
              <w:rPr>
                <w:b/>
                <w:i/>
              </w:rPr>
            </w:pPr>
            <w:r>
              <w:rPr>
                <w:szCs w:val="22"/>
                <w:lang w:eastAsia="sv-SE"/>
              </w:rPr>
              <w:t>Indicates the number of DMRS sequences for SSB to PUSCH mapping (see TS 38.213 [13]).</w:t>
            </w:r>
          </w:p>
        </w:tc>
      </w:tr>
      <w:tr w:rsidR="000A1E37" w14:paraId="5418D9FF" w14:textId="77777777" w:rsidTr="000A1E37">
        <w:tc>
          <w:tcPr>
            <w:tcW w:w="9639" w:type="dxa"/>
          </w:tcPr>
          <w:p w14:paraId="69F8644F" w14:textId="77777777" w:rsidR="000A1E37" w:rsidRDefault="000A1E37" w:rsidP="000A1E37">
            <w:pPr>
              <w:pStyle w:val="TAL"/>
              <w:rPr>
                <w:szCs w:val="22"/>
                <w:lang w:eastAsia="sv-SE"/>
              </w:rPr>
            </w:pPr>
            <w:proofErr w:type="spellStart"/>
            <w:r>
              <w:rPr>
                <w:b/>
                <w:i/>
                <w:szCs w:val="22"/>
                <w:lang w:eastAsia="sv-SE"/>
              </w:rPr>
              <w:t>ntn</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792D2607" w14:textId="77777777" w:rsidR="000A1E37" w:rsidRDefault="000A1E37" w:rsidP="000A1E37">
            <w:pPr>
              <w:pStyle w:val="TAL"/>
              <w:rPr>
                <w:b/>
                <w:i/>
              </w:rPr>
            </w:pPr>
            <w:r>
              <w:rPr>
                <w:rFonts w:cs="Arial"/>
                <w:szCs w:val="22"/>
                <w:lang w:eastAsia="sv-SE"/>
              </w:rPr>
              <w:t xml:space="preserve">The number of SSBs per pre-allocated uplink grant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pre-allocated uplink grant PUSCH, value </w:t>
            </w:r>
            <w:r>
              <w:rPr>
                <w:rFonts w:cs="Arial"/>
                <w:i/>
                <w:iCs/>
                <w:szCs w:val="22"/>
                <w:lang w:eastAsia="sv-SE"/>
              </w:rPr>
              <w:t>two</w:t>
            </w:r>
            <w:r>
              <w:rPr>
                <w:rFonts w:cs="Arial"/>
                <w:szCs w:val="22"/>
                <w:lang w:eastAsia="sv-SE"/>
              </w:rPr>
              <w:t xml:space="preserve"> corresponds to 2 SSBs per pre-allocated uplink grant PUSCH and so on.</w:t>
            </w:r>
          </w:p>
        </w:tc>
      </w:tr>
      <w:tr w:rsidR="000A1E37" w14:paraId="72470131" w14:textId="77777777" w:rsidTr="000A1E37">
        <w:tc>
          <w:tcPr>
            <w:tcW w:w="9639" w:type="dxa"/>
          </w:tcPr>
          <w:p w14:paraId="586FE46D" w14:textId="77777777" w:rsidR="000A1E37" w:rsidRDefault="000A1E37" w:rsidP="000A1E37">
            <w:pPr>
              <w:pStyle w:val="TAL"/>
              <w:rPr>
                <w:b/>
                <w:i/>
              </w:rPr>
            </w:pPr>
            <w:proofErr w:type="spellStart"/>
            <w:r>
              <w:rPr>
                <w:b/>
                <w:i/>
              </w:rPr>
              <w:t>ntn</w:t>
            </w:r>
            <w:proofErr w:type="spellEnd"/>
            <w:r>
              <w:rPr>
                <w:b/>
                <w:i/>
              </w:rPr>
              <w:t>-RSRP-</w:t>
            </w:r>
            <w:proofErr w:type="spellStart"/>
            <w:r>
              <w:rPr>
                <w:b/>
                <w:i/>
              </w:rPr>
              <w:t>ThresholdSSB</w:t>
            </w:r>
            <w:proofErr w:type="spellEnd"/>
          </w:p>
          <w:p w14:paraId="579B0CCD" w14:textId="77777777" w:rsidR="000A1E37" w:rsidRDefault="000A1E37" w:rsidP="000A1E37">
            <w:pPr>
              <w:pStyle w:val="TAL"/>
              <w:rPr>
                <w:b/>
                <w:i/>
                <w:szCs w:val="22"/>
                <w:lang w:eastAsia="sv-SE"/>
              </w:rPr>
            </w:pPr>
            <w:r>
              <w:rPr>
                <w:bCs/>
                <w:iCs/>
              </w:rPr>
              <w:t>An RSRP threshold configured for SSB selection for the pre-allocated uplink grant as specified in TS 38.321 [3].</w:t>
            </w:r>
          </w:p>
        </w:tc>
      </w:tr>
    </w:tbl>
    <w:p w14:paraId="0BE4B721" w14:textId="1D5F4BAB" w:rsidR="000A1E37" w:rsidRPr="000A1E37" w:rsidRDefault="000A1E37" w:rsidP="000A1E37">
      <w:pPr>
        <w:pStyle w:val="PL"/>
        <w:rPr>
          <w:sz w:val="13"/>
          <w:szCs w:val="16"/>
        </w:rPr>
      </w:pPr>
    </w:p>
    <w:p w14:paraId="1ABA2E00" w14:textId="378D7369" w:rsidR="005B5CBD" w:rsidRDefault="005B5CBD" w:rsidP="0033712C">
      <w:pPr>
        <w:rPr>
          <w:color w:val="auto"/>
        </w:rPr>
      </w:pPr>
      <w:r>
        <w:rPr>
          <w:color w:val="auto"/>
        </w:rPr>
        <w:t>We think there are two changes are needed:</w:t>
      </w:r>
    </w:p>
    <w:p w14:paraId="7C1FBDB8" w14:textId="0295A3DA" w:rsidR="005B5CBD" w:rsidRDefault="000A1E37" w:rsidP="005B5CBD">
      <w:pPr>
        <w:pStyle w:val="ListParagraph"/>
        <w:numPr>
          <w:ilvl w:val="0"/>
          <w:numId w:val="84"/>
        </w:numPr>
        <w:ind w:firstLineChars="0"/>
      </w:pPr>
      <w:r w:rsidRPr="005B5CBD">
        <w:t>Because different RACH-less configurations (e.g. beam information</w:t>
      </w:r>
      <w:r w:rsidR="005B5CBD">
        <w:t>, SSB threshold</w:t>
      </w:r>
      <w:r w:rsidRPr="005B5CBD">
        <w:t xml:space="preserve">) may be used between mobile IAB and NTN, we think a separate </w:t>
      </w:r>
      <w:r w:rsidRPr="005B5CBD">
        <w:rPr>
          <w:i/>
          <w:iCs/>
        </w:rPr>
        <w:t>miab-Rach-LessHO-r18</w:t>
      </w:r>
      <w:r w:rsidRPr="005B5CBD">
        <w:rPr>
          <w:i/>
          <w:iCs/>
          <w:sz w:val="13"/>
          <w:szCs w:val="16"/>
        </w:rPr>
        <w:t xml:space="preserve"> </w:t>
      </w:r>
      <w:r w:rsidRPr="005B5CBD">
        <w:t xml:space="preserve">can be introduced. </w:t>
      </w:r>
    </w:p>
    <w:p w14:paraId="6789C0CE" w14:textId="29F2810B" w:rsidR="005B5CBD" w:rsidRDefault="005B5CBD" w:rsidP="005B5CBD">
      <w:pPr>
        <w:pStyle w:val="ListParagraph"/>
        <w:numPr>
          <w:ilvl w:val="0"/>
          <w:numId w:val="84"/>
        </w:numPr>
        <w:ind w:firstLineChars="0"/>
      </w:pPr>
      <w:r>
        <w:t>T</w:t>
      </w:r>
      <w:r w:rsidR="000A1E37" w:rsidRPr="005B5CBD">
        <w:t>he IE to indicate TA of target cell</w:t>
      </w:r>
      <w:r>
        <w:t xml:space="preserve"> (i.e.</w:t>
      </w:r>
      <w:r w:rsidRPr="005B5CBD">
        <w:t xml:space="preserve"> </w:t>
      </w:r>
      <w:r w:rsidRPr="005B5CBD">
        <w:rPr>
          <w:i/>
          <w:iCs/>
        </w:rPr>
        <w:t>targetNTA-r18</w:t>
      </w:r>
      <w:r>
        <w:t xml:space="preserve"> for NTN</w:t>
      </w:r>
      <w:r w:rsidRPr="005B5CBD">
        <w:t>) is not needed</w:t>
      </w:r>
      <w:r w:rsidR="000A1E37" w:rsidRPr="005B5CBD">
        <w:t xml:space="preserve"> </w:t>
      </w:r>
      <w:r>
        <w:t xml:space="preserve">because RAN2#121b [1] has agreed only same TA case is supported for </w:t>
      </w:r>
      <w:proofErr w:type="spellStart"/>
      <w:r>
        <w:t>mIAB</w:t>
      </w:r>
      <w:proofErr w:type="spellEnd"/>
      <w:r>
        <w:t>.</w:t>
      </w:r>
      <w:r w:rsidR="000A1E37" w:rsidRPr="005B5CBD">
        <w:t xml:space="preserve">  </w:t>
      </w:r>
      <w:r w:rsidR="000A1E37" w:rsidRPr="005B5CBD">
        <w:rPr>
          <w:sz w:val="13"/>
          <w:szCs w:val="16"/>
        </w:rPr>
        <w:t xml:space="preserve">                </w:t>
      </w:r>
    </w:p>
    <w:p w14:paraId="1F6CF55F" w14:textId="77777777" w:rsidR="005B5CBD" w:rsidRDefault="005B5CBD" w:rsidP="005B5CBD">
      <w:pPr>
        <w:pStyle w:val="Agreement"/>
        <w:tabs>
          <w:tab w:val="clear" w:pos="2250"/>
          <w:tab w:val="num" w:pos="1619"/>
        </w:tabs>
        <w:spacing w:after="180"/>
        <w:ind w:left="1619"/>
      </w:pPr>
      <w:r>
        <w:t xml:space="preserve">RACH-less for </w:t>
      </w:r>
      <w:proofErr w:type="spellStart"/>
      <w:r>
        <w:t>mIAB</w:t>
      </w:r>
      <w:proofErr w:type="spellEnd"/>
      <w:r>
        <w:t xml:space="preserve"> scenario, if agreed in the end, will cover only the case of same-TA. </w:t>
      </w:r>
    </w:p>
    <w:p w14:paraId="40F989EA" w14:textId="77777777" w:rsidR="005B5CBD" w:rsidRDefault="005B5CBD" w:rsidP="005B5CBD">
      <w:r>
        <w:t>An example of ASN.1 changes can be found below:</w:t>
      </w:r>
    </w:p>
    <w:p w14:paraId="69C2104C" w14:textId="77777777" w:rsidR="005B5CBD" w:rsidRPr="000A1E37" w:rsidRDefault="005B5CBD" w:rsidP="005B5CBD">
      <w:pPr>
        <w:pStyle w:val="PL"/>
        <w:rPr>
          <w:sz w:val="13"/>
          <w:szCs w:val="16"/>
        </w:rPr>
      </w:pPr>
      <w:r>
        <w:t xml:space="preserve"> </w:t>
      </w:r>
      <w:r w:rsidRPr="000A1E37">
        <w:rPr>
          <w:sz w:val="13"/>
          <w:szCs w:val="16"/>
        </w:rPr>
        <w:t>RACH-LessHO-r18 ::=             SEQUENCE {</w:t>
      </w:r>
    </w:p>
    <w:p w14:paraId="54F8329D" w14:textId="77777777" w:rsidR="005B5CBD" w:rsidRPr="000A1E37" w:rsidRDefault="005B5CBD" w:rsidP="005B5CBD">
      <w:pPr>
        <w:pStyle w:val="PL"/>
        <w:rPr>
          <w:sz w:val="13"/>
          <w:szCs w:val="16"/>
        </w:rPr>
      </w:pPr>
      <w:r w:rsidRPr="000A1E37">
        <w:rPr>
          <w:sz w:val="13"/>
          <w:szCs w:val="16"/>
        </w:rPr>
        <w:t xml:space="preserve">    ntn-Rach-LessHO-r18                SEQUENCE {</w:t>
      </w:r>
    </w:p>
    <w:p w14:paraId="50BA864E" w14:textId="77777777" w:rsidR="005B5CBD" w:rsidRPr="000A1E37" w:rsidRDefault="005B5CBD" w:rsidP="005B5CBD">
      <w:pPr>
        <w:pStyle w:val="PL"/>
        <w:rPr>
          <w:sz w:val="13"/>
          <w:szCs w:val="16"/>
        </w:rPr>
      </w:pPr>
      <w:r w:rsidRPr="000A1E37">
        <w:rPr>
          <w:sz w:val="13"/>
          <w:szCs w:val="16"/>
        </w:rPr>
        <w:t xml:space="preserve">        targetNTA-r18                      ENUMERATED {zero, source},</w:t>
      </w:r>
    </w:p>
    <w:p w14:paraId="1EBF2CF0" w14:textId="77777777" w:rsidR="005B5CBD" w:rsidRPr="000A1E37" w:rsidRDefault="005B5CBD" w:rsidP="005B5CBD">
      <w:pPr>
        <w:pStyle w:val="PL"/>
        <w:rPr>
          <w:sz w:val="13"/>
          <w:szCs w:val="16"/>
        </w:rPr>
      </w:pPr>
      <w:r w:rsidRPr="000A1E37">
        <w:rPr>
          <w:sz w:val="13"/>
          <w:szCs w:val="16"/>
        </w:rPr>
        <w:t xml:space="preserve">        ulGrantInfo-r18                    SEQUENCE {</w:t>
      </w:r>
    </w:p>
    <w:p w14:paraId="272BBB6C" w14:textId="77777777" w:rsidR="005B5CBD" w:rsidRPr="000A1E37" w:rsidRDefault="005B5CBD" w:rsidP="005B5CBD">
      <w:pPr>
        <w:pStyle w:val="PL"/>
        <w:rPr>
          <w:sz w:val="13"/>
          <w:szCs w:val="16"/>
        </w:rPr>
      </w:pPr>
      <w:r w:rsidRPr="000A1E37">
        <w:rPr>
          <w:sz w:val="13"/>
          <w:szCs w:val="16"/>
        </w:rPr>
        <w:t xml:space="preserve">            ulGrantConfig-r18                  ConfiguredGrantConfig,</w:t>
      </w:r>
    </w:p>
    <w:p w14:paraId="53C1D59B" w14:textId="77777777" w:rsidR="005B5CBD" w:rsidRPr="000A1E37" w:rsidRDefault="005B5CBD" w:rsidP="005B5CBD">
      <w:pPr>
        <w:pStyle w:val="PL"/>
        <w:rPr>
          <w:sz w:val="13"/>
          <w:szCs w:val="16"/>
        </w:rPr>
      </w:pPr>
      <w:r w:rsidRPr="000A1E37">
        <w:rPr>
          <w:sz w:val="13"/>
          <w:szCs w:val="16"/>
        </w:rPr>
        <w:t xml:space="preserve">            ntn-RSRP-ThresholdSSB-r18          RSRP-Range,</w:t>
      </w:r>
    </w:p>
    <w:p w14:paraId="4E2C7E10" w14:textId="77777777" w:rsidR="005B5CBD" w:rsidRPr="000A1E37" w:rsidRDefault="005B5CBD" w:rsidP="005B5CBD">
      <w:pPr>
        <w:pStyle w:val="PL"/>
        <w:rPr>
          <w:color w:val="808080"/>
          <w:sz w:val="13"/>
          <w:szCs w:val="16"/>
        </w:rPr>
      </w:pPr>
      <w:r w:rsidRPr="000A1E37">
        <w:rPr>
          <w:sz w:val="13"/>
          <w:szCs w:val="16"/>
        </w:rPr>
        <w:t xml:space="preserve">            ntn-SSB-PerCG-PUSCH-r17            </w:t>
      </w:r>
      <w:r w:rsidRPr="000A1E37">
        <w:rPr>
          <w:color w:val="993366"/>
          <w:sz w:val="13"/>
          <w:szCs w:val="16"/>
        </w:rPr>
        <w:t>ENUMERATED</w:t>
      </w:r>
      <w:r w:rsidRPr="000A1E37">
        <w:rPr>
          <w:sz w:val="13"/>
          <w:szCs w:val="16"/>
        </w:rPr>
        <w:t xml:space="preserve"> {oneEighth, oneFourth, half, one, two, four, eight, sixteen},</w:t>
      </w:r>
    </w:p>
    <w:p w14:paraId="1BED1517" w14:textId="77777777" w:rsidR="005B5CBD" w:rsidRPr="000A1E37" w:rsidRDefault="005B5CBD" w:rsidP="005B5CBD">
      <w:pPr>
        <w:pStyle w:val="PL"/>
        <w:rPr>
          <w:sz w:val="13"/>
          <w:szCs w:val="16"/>
        </w:rPr>
      </w:pPr>
      <w:r w:rsidRPr="000A1E37">
        <w:rPr>
          <w:sz w:val="13"/>
          <w:szCs w:val="16"/>
        </w:rPr>
        <w:t xml:space="preserve">            ntn-SSB-Subset-r18                 CHOICE {</w:t>
      </w:r>
    </w:p>
    <w:p w14:paraId="714ECEB2" w14:textId="77777777" w:rsidR="005B5CBD" w:rsidRPr="000A1E37" w:rsidRDefault="005B5CBD" w:rsidP="005B5CBD">
      <w:pPr>
        <w:pStyle w:val="PL"/>
        <w:rPr>
          <w:sz w:val="13"/>
          <w:szCs w:val="16"/>
        </w:rPr>
      </w:pPr>
      <w:r w:rsidRPr="000A1E37">
        <w:rPr>
          <w:sz w:val="13"/>
          <w:szCs w:val="16"/>
        </w:rPr>
        <w:t xml:space="preserve">              shortBitmap-r18                      BIT STRING (SIZE (4)),</w:t>
      </w:r>
    </w:p>
    <w:p w14:paraId="775C7D78" w14:textId="77777777" w:rsidR="005B5CBD" w:rsidRPr="000A1E37" w:rsidRDefault="005B5CBD" w:rsidP="005B5CBD">
      <w:pPr>
        <w:pStyle w:val="PL"/>
        <w:rPr>
          <w:sz w:val="13"/>
          <w:szCs w:val="16"/>
        </w:rPr>
      </w:pPr>
      <w:r w:rsidRPr="000A1E37">
        <w:rPr>
          <w:sz w:val="13"/>
          <w:szCs w:val="16"/>
        </w:rPr>
        <w:t xml:space="preserve">              mediumBitmap-r18                     BIT STRING (SIZE (8)),</w:t>
      </w:r>
    </w:p>
    <w:p w14:paraId="324659B5" w14:textId="77777777" w:rsidR="005B5CBD" w:rsidRPr="000A1E37" w:rsidRDefault="005B5CBD" w:rsidP="005B5CBD">
      <w:pPr>
        <w:pStyle w:val="PL"/>
        <w:rPr>
          <w:sz w:val="13"/>
          <w:szCs w:val="16"/>
        </w:rPr>
      </w:pPr>
      <w:r w:rsidRPr="000A1E37">
        <w:rPr>
          <w:sz w:val="13"/>
          <w:szCs w:val="16"/>
        </w:rPr>
        <w:t xml:space="preserve">              longBitmap-r18                       BIT STRING (SIZE (64))</w:t>
      </w:r>
    </w:p>
    <w:p w14:paraId="4FEC4AFF" w14:textId="77777777" w:rsidR="005B5CBD" w:rsidRPr="000A1E37" w:rsidRDefault="005B5CBD" w:rsidP="005B5CBD">
      <w:pPr>
        <w:pStyle w:val="PL"/>
        <w:rPr>
          <w:sz w:val="13"/>
          <w:szCs w:val="16"/>
        </w:rPr>
      </w:pPr>
      <w:r w:rsidRPr="000A1E37">
        <w:rPr>
          <w:sz w:val="13"/>
          <w:szCs w:val="16"/>
        </w:rPr>
        <w:t xml:space="preserve">            },</w:t>
      </w:r>
    </w:p>
    <w:p w14:paraId="3705F519" w14:textId="77777777" w:rsidR="005B5CBD" w:rsidRPr="000A1E37" w:rsidRDefault="005B5CBD" w:rsidP="005B5CBD">
      <w:pPr>
        <w:pStyle w:val="PL"/>
        <w:rPr>
          <w:sz w:val="13"/>
          <w:szCs w:val="16"/>
        </w:rPr>
      </w:pPr>
      <w:r w:rsidRPr="000A1E37">
        <w:rPr>
          <w:sz w:val="13"/>
          <w:szCs w:val="16"/>
        </w:rPr>
        <w:t xml:space="preserve">            ntn-DMRS-Ports-r17                 CHOICE {</w:t>
      </w:r>
    </w:p>
    <w:p w14:paraId="7A989F76" w14:textId="77777777" w:rsidR="005B5CBD" w:rsidRPr="000A1E37" w:rsidRDefault="005B5CBD" w:rsidP="005B5CBD">
      <w:pPr>
        <w:pStyle w:val="PL"/>
        <w:rPr>
          <w:sz w:val="13"/>
          <w:szCs w:val="16"/>
        </w:rPr>
      </w:pPr>
      <w:r w:rsidRPr="000A1E37">
        <w:rPr>
          <w:sz w:val="13"/>
          <w:szCs w:val="16"/>
        </w:rPr>
        <w:t xml:space="preserve">              dmrsType1-r17                        BIT STRING (SIZE (8)),</w:t>
      </w:r>
    </w:p>
    <w:p w14:paraId="4C2A7AD6" w14:textId="77777777" w:rsidR="005B5CBD" w:rsidRPr="000A1E37" w:rsidRDefault="005B5CBD" w:rsidP="005B5CBD">
      <w:pPr>
        <w:pStyle w:val="PL"/>
        <w:rPr>
          <w:sz w:val="13"/>
          <w:szCs w:val="16"/>
        </w:rPr>
      </w:pPr>
      <w:r w:rsidRPr="000A1E37">
        <w:rPr>
          <w:sz w:val="13"/>
          <w:szCs w:val="16"/>
        </w:rPr>
        <w:t xml:space="preserve">              dmrsType2-r17                        BIT STRING (SIZE (12))</w:t>
      </w:r>
    </w:p>
    <w:p w14:paraId="14B73F15" w14:textId="77777777" w:rsidR="005B5CBD" w:rsidRPr="000A1E37" w:rsidRDefault="005B5CBD" w:rsidP="005B5CBD">
      <w:pPr>
        <w:pStyle w:val="PL"/>
        <w:rPr>
          <w:sz w:val="13"/>
          <w:szCs w:val="16"/>
        </w:rPr>
      </w:pPr>
      <w:r w:rsidRPr="000A1E37">
        <w:rPr>
          <w:sz w:val="13"/>
          <w:szCs w:val="16"/>
        </w:rPr>
        <w:t xml:space="preserve">            },</w:t>
      </w:r>
    </w:p>
    <w:p w14:paraId="54FBCC37" w14:textId="77777777" w:rsidR="005B5CBD" w:rsidRPr="000A1E37" w:rsidRDefault="005B5CBD" w:rsidP="005B5CBD">
      <w:pPr>
        <w:pStyle w:val="PL"/>
        <w:rPr>
          <w:sz w:val="13"/>
          <w:szCs w:val="16"/>
        </w:rPr>
      </w:pPr>
      <w:r w:rsidRPr="000A1E37">
        <w:rPr>
          <w:sz w:val="13"/>
          <w:szCs w:val="16"/>
        </w:rPr>
        <w:t xml:space="preserve">            ntn-NrofDMRS-Sequences-r17         INTEGER (1..2)</w:t>
      </w:r>
    </w:p>
    <w:p w14:paraId="5AD62DAD" w14:textId="77777777" w:rsidR="005B5CBD" w:rsidRPr="000A1E37" w:rsidRDefault="005B5CBD" w:rsidP="005B5CBD">
      <w:pPr>
        <w:pStyle w:val="PL"/>
        <w:rPr>
          <w:sz w:val="13"/>
          <w:szCs w:val="16"/>
        </w:rPr>
      </w:pPr>
      <w:r w:rsidRPr="000A1E37">
        <w:rPr>
          <w:sz w:val="13"/>
          <w:szCs w:val="16"/>
        </w:rPr>
        <w:t xml:space="preserve">        }                                                                                   OPTIONAL    -- Need R</w:t>
      </w:r>
    </w:p>
    <w:p w14:paraId="5FABE417" w14:textId="2DF02907" w:rsidR="005B5CBD" w:rsidRDefault="005B5CBD" w:rsidP="005B5CBD">
      <w:pPr>
        <w:pStyle w:val="PL"/>
        <w:rPr>
          <w:sz w:val="13"/>
          <w:szCs w:val="16"/>
        </w:rPr>
      </w:pPr>
      <w:r w:rsidRPr="000A1E37">
        <w:rPr>
          <w:sz w:val="13"/>
          <w:szCs w:val="16"/>
        </w:rPr>
        <w:t xml:space="preserve">    }    </w:t>
      </w:r>
      <w:r>
        <w:rPr>
          <w:sz w:val="13"/>
          <w:szCs w:val="16"/>
        </w:rPr>
        <w:t xml:space="preserve">                                                                                  </w:t>
      </w:r>
      <w:r w:rsidRPr="000A1E37">
        <w:rPr>
          <w:sz w:val="13"/>
          <w:szCs w:val="16"/>
        </w:rPr>
        <w:t xml:space="preserve"> OPTIONAL,   -- Need R</w:t>
      </w:r>
    </w:p>
    <w:p w14:paraId="7F916D4D" w14:textId="0A1F5EB7" w:rsidR="005B5CBD" w:rsidRPr="00D36BD0" w:rsidRDefault="005B5CBD" w:rsidP="005B5CBD">
      <w:pPr>
        <w:pStyle w:val="PL"/>
        <w:rPr>
          <w:color w:val="FF0000"/>
          <w:sz w:val="13"/>
          <w:szCs w:val="16"/>
          <w:u w:val="single"/>
        </w:rPr>
      </w:pPr>
      <w:r w:rsidRPr="00D36BD0">
        <w:rPr>
          <w:color w:val="FF0000"/>
          <w:sz w:val="13"/>
          <w:szCs w:val="16"/>
        </w:rPr>
        <w:t xml:space="preserve">    </w:t>
      </w:r>
      <w:r w:rsidRPr="00D36BD0">
        <w:rPr>
          <w:color w:val="FF0000"/>
          <w:sz w:val="13"/>
          <w:szCs w:val="16"/>
          <w:u w:val="single"/>
        </w:rPr>
        <w:t>miab-Rach-LessHO-r18                SEQUENCE {</w:t>
      </w:r>
    </w:p>
    <w:p w14:paraId="091B2EF1"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ulGrantInfo-r18                    SEQUENCE {</w:t>
      </w:r>
    </w:p>
    <w:p w14:paraId="72E492B6"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ulGrantConfig-r18                  ConfiguredGrantConfig,</w:t>
      </w:r>
    </w:p>
    <w:p w14:paraId="45DD550A" w14:textId="479B10BE" w:rsidR="005B5CBD" w:rsidRPr="00D36BD0" w:rsidRDefault="005B5CBD" w:rsidP="005B5CBD">
      <w:pPr>
        <w:pStyle w:val="PL"/>
        <w:rPr>
          <w:color w:val="FF0000"/>
          <w:sz w:val="13"/>
          <w:szCs w:val="16"/>
          <w:u w:val="single"/>
        </w:rPr>
      </w:pPr>
      <w:r w:rsidRPr="00D36BD0">
        <w:rPr>
          <w:color w:val="FF0000"/>
          <w:sz w:val="13"/>
          <w:szCs w:val="16"/>
          <w:u w:val="single"/>
        </w:rPr>
        <w:t xml:space="preserve">            miab-RSRP-ThresholdSSB-r18          RSRP-Range,</w:t>
      </w:r>
    </w:p>
    <w:p w14:paraId="57144350" w14:textId="5CD5ABC5" w:rsidR="005B5CBD" w:rsidRPr="00D36BD0" w:rsidRDefault="005B5CBD" w:rsidP="005B5CBD">
      <w:pPr>
        <w:pStyle w:val="PL"/>
        <w:rPr>
          <w:color w:val="FF0000"/>
          <w:sz w:val="13"/>
          <w:szCs w:val="16"/>
          <w:u w:val="single"/>
        </w:rPr>
      </w:pPr>
      <w:r w:rsidRPr="00D36BD0">
        <w:rPr>
          <w:color w:val="FF0000"/>
          <w:sz w:val="13"/>
          <w:szCs w:val="16"/>
          <w:u w:val="single"/>
        </w:rPr>
        <w:t xml:space="preserve">            miab-SSB-PerCG-PUSCH-r17            ENUMERATED {oneEighth, oneFourth, half, one, two, four, eight, sixteen},</w:t>
      </w:r>
    </w:p>
    <w:p w14:paraId="3F67365E" w14:textId="47B58B2A" w:rsidR="005B5CBD" w:rsidRPr="00D36BD0" w:rsidRDefault="005B5CBD" w:rsidP="005B5CBD">
      <w:pPr>
        <w:pStyle w:val="PL"/>
        <w:rPr>
          <w:color w:val="FF0000"/>
          <w:sz w:val="13"/>
          <w:szCs w:val="16"/>
          <w:u w:val="single"/>
        </w:rPr>
      </w:pPr>
      <w:r w:rsidRPr="00D36BD0">
        <w:rPr>
          <w:color w:val="FF0000"/>
          <w:sz w:val="13"/>
          <w:szCs w:val="16"/>
          <w:u w:val="single"/>
        </w:rPr>
        <w:t xml:space="preserve">            miab-SSB-Subset-r18                 CHOICE {</w:t>
      </w:r>
    </w:p>
    <w:p w14:paraId="759D99F9"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shortBitmap-r18                      BIT STRING (SIZE (4)),</w:t>
      </w:r>
    </w:p>
    <w:p w14:paraId="3A28DFE4"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mediumBitmap-r18                     BIT STRING (SIZE (8)),</w:t>
      </w:r>
    </w:p>
    <w:p w14:paraId="4D220006"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longBitmap-r18                       BIT STRING (SIZE (64))</w:t>
      </w:r>
    </w:p>
    <w:p w14:paraId="2C67C9FC"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w:t>
      </w:r>
    </w:p>
    <w:p w14:paraId="24BCA04A" w14:textId="1AA8A2C0" w:rsidR="005B5CBD" w:rsidRPr="00D36BD0" w:rsidRDefault="005B5CBD" w:rsidP="005B5CBD">
      <w:pPr>
        <w:pStyle w:val="PL"/>
        <w:rPr>
          <w:color w:val="FF0000"/>
          <w:sz w:val="13"/>
          <w:szCs w:val="16"/>
          <w:u w:val="single"/>
        </w:rPr>
      </w:pPr>
      <w:r w:rsidRPr="00D36BD0">
        <w:rPr>
          <w:color w:val="FF0000"/>
          <w:sz w:val="13"/>
          <w:szCs w:val="16"/>
          <w:u w:val="single"/>
        </w:rPr>
        <w:t xml:space="preserve">            miab-DMRS-Ports-r17                 CHOICE {</w:t>
      </w:r>
    </w:p>
    <w:p w14:paraId="735E0541"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dmrsType1-r17                        BIT STRING (SIZE (8)),</w:t>
      </w:r>
    </w:p>
    <w:p w14:paraId="78FC8EAA"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dmrsType2-r17                        BIT STRING (SIZE (12))</w:t>
      </w:r>
    </w:p>
    <w:p w14:paraId="0BF9F9EF"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w:t>
      </w:r>
    </w:p>
    <w:p w14:paraId="0FF60824" w14:textId="52786715" w:rsidR="005B5CBD" w:rsidRPr="00D36BD0" w:rsidRDefault="005B5CBD" w:rsidP="005B5CBD">
      <w:pPr>
        <w:pStyle w:val="PL"/>
        <w:rPr>
          <w:color w:val="FF0000"/>
          <w:sz w:val="13"/>
          <w:szCs w:val="16"/>
          <w:u w:val="single"/>
        </w:rPr>
      </w:pPr>
      <w:r w:rsidRPr="00D36BD0">
        <w:rPr>
          <w:color w:val="FF0000"/>
          <w:sz w:val="13"/>
          <w:szCs w:val="16"/>
          <w:u w:val="single"/>
        </w:rPr>
        <w:t xml:space="preserve">            miab-NrofDMRS-Sequences-r17         INTEGER (1..2)</w:t>
      </w:r>
    </w:p>
    <w:p w14:paraId="6CA2F709"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                                                                                   OPTIONAL    -- Need R</w:t>
      </w:r>
    </w:p>
    <w:p w14:paraId="42EC09AF" w14:textId="77777777" w:rsidR="005B5CBD" w:rsidRPr="00D36BD0" w:rsidRDefault="005B5CBD" w:rsidP="005B5CBD">
      <w:pPr>
        <w:pStyle w:val="PL"/>
        <w:rPr>
          <w:color w:val="FF0000"/>
          <w:sz w:val="13"/>
          <w:szCs w:val="16"/>
          <w:u w:val="single"/>
        </w:rPr>
      </w:pPr>
      <w:r w:rsidRPr="00D36BD0">
        <w:rPr>
          <w:color w:val="FF0000"/>
          <w:sz w:val="13"/>
          <w:szCs w:val="16"/>
          <w:u w:val="single"/>
        </w:rPr>
        <w:t xml:space="preserve">    }                                                                                       OPTIONAL,   -- Need R</w:t>
      </w:r>
    </w:p>
    <w:p w14:paraId="3D655BB9" w14:textId="77777777" w:rsidR="005B5CBD" w:rsidRPr="000A1E37" w:rsidRDefault="005B5CBD" w:rsidP="005B5CBD">
      <w:pPr>
        <w:pStyle w:val="PL"/>
        <w:rPr>
          <w:sz w:val="13"/>
          <w:szCs w:val="16"/>
        </w:rPr>
      </w:pPr>
      <w:r w:rsidRPr="000A1E37">
        <w:rPr>
          <w:sz w:val="13"/>
          <w:szCs w:val="16"/>
        </w:rPr>
        <w:t xml:space="preserve">    ...</w:t>
      </w:r>
    </w:p>
    <w:p w14:paraId="1C03486D" w14:textId="77777777" w:rsidR="00071F0D" w:rsidRDefault="00071F0D" w:rsidP="00A22A33"/>
    <w:p w14:paraId="0C232BD1" w14:textId="60C74345" w:rsidR="00071F0D" w:rsidRDefault="00071F0D" w:rsidP="00A22A33">
      <w:pPr>
        <w:rPr>
          <w:b/>
          <w:bCs/>
          <w:color w:val="auto"/>
        </w:rPr>
      </w:pPr>
      <w:r>
        <w:rPr>
          <w:b/>
          <w:bCs/>
          <w:color w:val="auto"/>
        </w:rPr>
        <w:t>Proposal 1: On top of NTN RRC running CR</w:t>
      </w:r>
      <w:r w:rsidR="00F91058">
        <w:rPr>
          <w:b/>
          <w:bCs/>
          <w:color w:val="auto"/>
        </w:rPr>
        <w:t xml:space="preserve"> </w:t>
      </w:r>
      <w:r w:rsidR="00B401F8">
        <w:rPr>
          <w:b/>
          <w:bCs/>
          <w:color w:val="auto"/>
        </w:rPr>
        <w:t>(</w:t>
      </w:r>
      <w:r w:rsidR="00B401F8" w:rsidRPr="00B401F8">
        <w:rPr>
          <w:b/>
          <w:bCs/>
          <w:color w:val="auto"/>
        </w:rPr>
        <w:t>R2-2309341)</w:t>
      </w:r>
      <w:r>
        <w:rPr>
          <w:b/>
          <w:bCs/>
          <w:color w:val="auto"/>
        </w:rPr>
        <w:t>, only the following two changes are needed:</w:t>
      </w:r>
    </w:p>
    <w:p w14:paraId="3C549E7C" w14:textId="4BE21F28" w:rsidR="00071F0D" w:rsidRPr="00071F0D" w:rsidRDefault="00071F0D" w:rsidP="00071F0D">
      <w:pPr>
        <w:pStyle w:val="ListParagraph"/>
        <w:numPr>
          <w:ilvl w:val="0"/>
          <w:numId w:val="85"/>
        </w:numPr>
        <w:ind w:firstLineChars="0"/>
        <w:rPr>
          <w:b/>
          <w:bCs/>
        </w:rPr>
      </w:pPr>
      <w:r w:rsidRPr="00071F0D">
        <w:rPr>
          <w:b/>
          <w:bCs/>
        </w:rPr>
        <w:t xml:space="preserve">Because different RACH-less configurations (e.g. beam information, SSB threshold) may be used between mobile IAB and NTN, </w:t>
      </w:r>
      <w:r>
        <w:rPr>
          <w:b/>
          <w:bCs/>
        </w:rPr>
        <w:t xml:space="preserve">introduce </w:t>
      </w:r>
      <w:r w:rsidRPr="00071F0D">
        <w:rPr>
          <w:b/>
          <w:bCs/>
        </w:rPr>
        <w:t xml:space="preserve">a separate </w:t>
      </w:r>
      <w:r w:rsidRPr="00071F0D">
        <w:rPr>
          <w:b/>
          <w:bCs/>
          <w:i/>
          <w:iCs/>
        </w:rPr>
        <w:t>miab-Rach-LessHO-r18</w:t>
      </w:r>
      <w:r w:rsidRPr="00071F0D">
        <w:rPr>
          <w:b/>
          <w:bCs/>
        </w:rPr>
        <w:t xml:space="preserve">. </w:t>
      </w:r>
    </w:p>
    <w:p w14:paraId="1550BF4F" w14:textId="48D3D5E8" w:rsidR="00071F0D" w:rsidRPr="00071F0D" w:rsidRDefault="00071F0D" w:rsidP="00071F0D">
      <w:pPr>
        <w:pStyle w:val="ListParagraph"/>
        <w:numPr>
          <w:ilvl w:val="0"/>
          <w:numId w:val="85"/>
        </w:numPr>
        <w:ind w:firstLineChars="0"/>
        <w:rPr>
          <w:b/>
          <w:bCs/>
        </w:rPr>
      </w:pPr>
      <w:r w:rsidRPr="00071F0D">
        <w:rPr>
          <w:b/>
          <w:bCs/>
        </w:rPr>
        <w:t xml:space="preserve">The IE to indicate TA of target cell (i.e. </w:t>
      </w:r>
      <w:r w:rsidRPr="00071F0D">
        <w:rPr>
          <w:b/>
          <w:bCs/>
          <w:i/>
          <w:iCs/>
        </w:rPr>
        <w:t>targetNTA-r18</w:t>
      </w:r>
      <w:r w:rsidRPr="00071F0D">
        <w:rPr>
          <w:b/>
          <w:bCs/>
        </w:rPr>
        <w:t xml:space="preserve"> for NTN) is not needed because </w:t>
      </w:r>
      <w:r w:rsidR="00F91058">
        <w:rPr>
          <w:b/>
          <w:bCs/>
        </w:rPr>
        <w:t>it</w:t>
      </w:r>
      <w:r w:rsidRPr="00071F0D">
        <w:rPr>
          <w:b/>
          <w:bCs/>
        </w:rPr>
        <w:t xml:space="preserve"> </w:t>
      </w:r>
      <w:r w:rsidR="00F91058">
        <w:rPr>
          <w:b/>
          <w:bCs/>
        </w:rPr>
        <w:t>was</w:t>
      </w:r>
      <w:r w:rsidRPr="00071F0D">
        <w:rPr>
          <w:b/>
          <w:bCs/>
        </w:rPr>
        <w:t xml:space="preserve"> agreed only same TA case is supported for m</w:t>
      </w:r>
      <w:r w:rsidR="00F91058">
        <w:rPr>
          <w:b/>
          <w:bCs/>
        </w:rPr>
        <w:t xml:space="preserve">obile </w:t>
      </w:r>
      <w:r w:rsidRPr="00071F0D">
        <w:rPr>
          <w:b/>
          <w:bCs/>
        </w:rPr>
        <w:t xml:space="preserve">IAB.  </w:t>
      </w:r>
      <w:r w:rsidRPr="00071F0D">
        <w:rPr>
          <w:b/>
          <w:bCs/>
          <w:sz w:val="13"/>
          <w:szCs w:val="16"/>
        </w:rPr>
        <w:t xml:space="preserve">                </w:t>
      </w:r>
    </w:p>
    <w:p w14:paraId="1515FB23" w14:textId="0E00D40B" w:rsidR="00F9333C" w:rsidRPr="00C83007" w:rsidRDefault="00F9333C" w:rsidP="00F9333C">
      <w:pPr>
        <w:pStyle w:val="Heading3"/>
        <w:rPr>
          <w:lang w:eastAsia="zh-CN"/>
        </w:rPr>
      </w:pPr>
      <w:r>
        <w:rPr>
          <w:lang w:eastAsia="zh-CN"/>
        </w:rPr>
        <w:t>2.1.</w:t>
      </w:r>
      <w:r w:rsidR="00246D58">
        <w:rPr>
          <w:lang w:eastAsia="zh-CN"/>
        </w:rPr>
        <w:t>2</w:t>
      </w:r>
      <w:r>
        <w:rPr>
          <w:lang w:eastAsia="zh-CN"/>
        </w:rPr>
        <w:t xml:space="preserve"> </w:t>
      </w:r>
      <w:r w:rsidR="00246D58">
        <w:rPr>
          <w:lang w:eastAsia="zh-CN"/>
        </w:rPr>
        <w:t>MAC</w:t>
      </w:r>
      <w:r>
        <w:rPr>
          <w:lang w:eastAsia="zh-CN"/>
        </w:rPr>
        <w:t xml:space="preserve"> specification changes on top of </w:t>
      </w:r>
      <w:r w:rsidRPr="0094388E">
        <w:rPr>
          <w:lang w:eastAsia="zh-CN"/>
        </w:rPr>
        <w:t>R2-230934</w:t>
      </w:r>
      <w:r w:rsidR="00AC0876">
        <w:rPr>
          <w:lang w:eastAsia="zh-CN"/>
        </w:rPr>
        <w:t>5</w:t>
      </w:r>
    </w:p>
    <w:p w14:paraId="7237CF46" w14:textId="2C69ECC6" w:rsidR="00A22A33" w:rsidRPr="00F24900" w:rsidRDefault="00F24900" w:rsidP="00A22A33">
      <w:pPr>
        <w:rPr>
          <w:color w:val="auto"/>
        </w:rPr>
      </w:pPr>
      <w:r w:rsidRPr="00F24900">
        <w:rPr>
          <w:color w:val="auto"/>
        </w:rPr>
        <w:t xml:space="preserve">We think the first change </w:t>
      </w:r>
      <w:r>
        <w:rPr>
          <w:color w:val="auto"/>
        </w:rPr>
        <w:t>is in Section 5.</w:t>
      </w:r>
      <w:r w:rsidR="008E5ED4">
        <w:rPr>
          <w:color w:val="auto"/>
        </w:rPr>
        <w:t>2</w:t>
      </w:r>
      <w:r>
        <w:rPr>
          <w:color w:val="auto"/>
        </w:rPr>
        <w:t xml:space="preserve"> on TA handling, the related part in [5] is copied below</w:t>
      </w:r>
      <w:r w:rsidR="00A06BB0">
        <w:rPr>
          <w:color w:val="auto"/>
        </w:rPr>
        <w:t>:</w:t>
      </w:r>
      <w:r>
        <w:rPr>
          <w:color w:val="auto"/>
        </w:rPr>
        <w:t xml:space="preserve"> </w:t>
      </w:r>
    </w:p>
    <w:p w14:paraId="3E505F3A" w14:textId="77777777" w:rsidR="00F24900" w:rsidRDefault="00F24900" w:rsidP="00F24900">
      <w:pPr>
        <w:pStyle w:val="B1"/>
      </w:pPr>
      <w:r>
        <w:rPr>
          <w:lang w:eastAsia="ko-KR"/>
        </w:rPr>
        <w:lastRenderedPageBreak/>
        <w:t>1&gt;</w:t>
      </w:r>
      <w:r>
        <w:tab/>
        <w:t>when an Absolute Timing Advance Command</w:t>
      </w:r>
      <w:r>
        <w:rPr>
          <w:iCs/>
        </w:rPr>
        <w:t xml:space="preserve"> </w:t>
      </w:r>
      <w:r>
        <w:t>is received in response to a MSGA transmission including C-RNTI MAC CE as specified in clause 5.1.4a:</w:t>
      </w:r>
    </w:p>
    <w:p w14:paraId="2C621A80" w14:textId="77777777" w:rsidR="00F24900" w:rsidRDefault="00F24900" w:rsidP="00F24900">
      <w:pPr>
        <w:pStyle w:val="B2"/>
      </w:pPr>
      <w:r>
        <w:rPr>
          <w:lang w:eastAsia="ko-KR"/>
        </w:rPr>
        <w:t>2&gt;</w:t>
      </w:r>
      <w:r>
        <w:rPr>
          <w:lang w:eastAsia="ko-KR"/>
        </w:rPr>
        <w:tab/>
      </w:r>
      <w:r>
        <w:t>apply the Timing Advance Command for PTAG;</w:t>
      </w:r>
    </w:p>
    <w:p w14:paraId="4A9F5F97" w14:textId="77777777" w:rsidR="00F24900" w:rsidRDefault="00F24900" w:rsidP="00F24900">
      <w:pPr>
        <w:pStyle w:val="B2"/>
      </w:pPr>
      <w:r>
        <w:t>2&gt;</w:t>
      </w:r>
      <w:r>
        <w:tab/>
        <w:t>if there is ongoing Positioning SRS Transmission in RRC_INACTIVE as in clause 5.26:</w:t>
      </w:r>
    </w:p>
    <w:p w14:paraId="5F22FB72" w14:textId="77777777" w:rsidR="00F24900" w:rsidRDefault="00F24900" w:rsidP="00F24900">
      <w:pPr>
        <w:pStyle w:val="B3"/>
      </w:pPr>
      <w:r>
        <w:t>3&gt;</w:t>
      </w:r>
      <w:r>
        <w:tab/>
        <w:t xml:space="preserve">start or restart the </w:t>
      </w:r>
      <w:proofErr w:type="spellStart"/>
      <w:r>
        <w:rPr>
          <w:i/>
          <w:iCs/>
        </w:rPr>
        <w:t>inactivePosSRS-TimeAlignmentTimer</w:t>
      </w:r>
      <w:proofErr w:type="spellEnd"/>
      <w:r>
        <w:t xml:space="preserve"> associated with the indicated TAG.</w:t>
      </w:r>
    </w:p>
    <w:p w14:paraId="5C152B37" w14:textId="77777777" w:rsidR="00F24900" w:rsidRDefault="00F24900" w:rsidP="00F24900">
      <w:pPr>
        <w:pStyle w:val="B2"/>
      </w:pPr>
      <w:r>
        <w:t>2&gt;</w:t>
      </w:r>
      <w:r>
        <w:tab/>
        <w:t>if CG-SDT procedure is ongoing:</w:t>
      </w:r>
    </w:p>
    <w:p w14:paraId="3327BEEA" w14:textId="77777777" w:rsidR="00F24900" w:rsidRDefault="00F24900" w:rsidP="00F24900">
      <w:pPr>
        <w:pStyle w:val="B3"/>
        <w:rPr>
          <w:lang w:eastAsia="ko-KR"/>
        </w:rPr>
      </w:pPr>
      <w:r>
        <w:t>3&gt;</w:t>
      </w:r>
      <w:r>
        <w:tab/>
        <w:t xml:space="preserve">start or restart the </w:t>
      </w:r>
      <w:r>
        <w:rPr>
          <w:i/>
          <w:iCs/>
        </w:rPr>
        <w:t>cg-SDT-</w:t>
      </w:r>
      <w:proofErr w:type="spellStart"/>
      <w:r>
        <w:rPr>
          <w:i/>
          <w:iCs/>
        </w:rPr>
        <w:t>TimeAlignmentTimer</w:t>
      </w:r>
      <w:proofErr w:type="spellEnd"/>
      <w:r>
        <w:t xml:space="preserve"> associated with PTAG.</w:t>
      </w:r>
    </w:p>
    <w:p w14:paraId="16D3D9FF" w14:textId="77777777" w:rsidR="00F24900" w:rsidRDefault="00F24900" w:rsidP="00F24900">
      <w:pPr>
        <w:pStyle w:val="B2"/>
      </w:pPr>
      <w:r>
        <w:t>2&gt;</w:t>
      </w:r>
      <w:r>
        <w:tab/>
        <w:t>else:</w:t>
      </w:r>
    </w:p>
    <w:p w14:paraId="585ECDF2" w14:textId="77777777" w:rsidR="00F24900" w:rsidRDefault="00F24900" w:rsidP="00F24900">
      <w:pPr>
        <w:pStyle w:val="B3"/>
        <w:rPr>
          <w:lang w:eastAsia="ko-KR"/>
        </w:rPr>
      </w:pPr>
      <w:r>
        <w:t>3&gt;</w:t>
      </w:r>
      <w:r>
        <w:tab/>
        <w:t xml:space="preserve">start or restart the </w:t>
      </w:r>
      <w:proofErr w:type="spellStart"/>
      <w:r>
        <w:rPr>
          <w:i/>
        </w:rPr>
        <w:t>timeAlignmentTimer</w:t>
      </w:r>
      <w:proofErr w:type="spellEnd"/>
      <w:r>
        <w:t xml:space="preserve"> associated with PTAG.</w:t>
      </w:r>
    </w:p>
    <w:p w14:paraId="480FB39A" w14:textId="77777777" w:rsidR="00F24900" w:rsidRPr="00F24900" w:rsidRDefault="00F24900" w:rsidP="00F24900">
      <w:pPr>
        <w:pStyle w:val="B1"/>
        <w:rPr>
          <w:color w:val="70AD47" w:themeColor="accent6"/>
          <w:u w:val="single"/>
        </w:rPr>
      </w:pPr>
      <w:r w:rsidRPr="00F24900">
        <w:rPr>
          <w:color w:val="70AD47" w:themeColor="accent6"/>
          <w:u w:val="single"/>
          <w:lang w:eastAsia="ko-KR"/>
        </w:rPr>
        <w:t>1&gt;</w:t>
      </w:r>
      <w:r w:rsidRPr="00F24900">
        <w:rPr>
          <w:color w:val="70AD47" w:themeColor="accent6"/>
          <w:u w:val="single"/>
        </w:rPr>
        <w:tab/>
        <w:t xml:space="preserve">when the MAC entity is configured with </w:t>
      </w:r>
      <w:proofErr w:type="spellStart"/>
      <w:r w:rsidRPr="00F24900">
        <w:rPr>
          <w:i/>
          <w:iCs/>
          <w:color w:val="70AD47" w:themeColor="accent6"/>
          <w:u w:val="single"/>
        </w:rPr>
        <w:t>rach-LessHO</w:t>
      </w:r>
      <w:proofErr w:type="spellEnd"/>
      <w:r w:rsidRPr="00F24900">
        <w:rPr>
          <w:color w:val="70AD47" w:themeColor="accent6"/>
          <w:u w:val="single"/>
        </w:rPr>
        <w:t>:</w:t>
      </w:r>
    </w:p>
    <w:p w14:paraId="1D69E9FF" w14:textId="77777777" w:rsidR="00F24900" w:rsidRPr="00F24900" w:rsidRDefault="00F24900" w:rsidP="00F24900">
      <w:pPr>
        <w:pStyle w:val="B2"/>
        <w:rPr>
          <w:color w:val="70AD47" w:themeColor="accent6"/>
          <w:u w:val="single"/>
        </w:rPr>
      </w:pPr>
      <w:r w:rsidRPr="00F24900">
        <w:rPr>
          <w:color w:val="70AD47" w:themeColor="accent6"/>
          <w:u w:val="single"/>
          <w:lang w:eastAsia="ko-KR"/>
        </w:rPr>
        <w:t>2&gt;</w:t>
      </w:r>
      <w:r w:rsidRPr="00F24900">
        <w:rPr>
          <w:color w:val="70AD47" w:themeColor="accent6"/>
          <w:u w:val="single"/>
          <w:lang w:eastAsia="ko-KR"/>
        </w:rPr>
        <w:tab/>
      </w:r>
      <w:r w:rsidRPr="00F24900">
        <w:rPr>
          <w:color w:val="70AD47" w:themeColor="accent6"/>
          <w:u w:val="single"/>
        </w:rPr>
        <w:t xml:space="preserve">set the </w:t>
      </w:r>
      <w:r w:rsidRPr="00F24900">
        <w:rPr>
          <w:color w:val="70AD47" w:themeColor="accent6"/>
          <w:u w:val="single"/>
          <w:lang w:eastAsia="zh-CN"/>
        </w:rPr>
        <w:t>N</w:t>
      </w:r>
      <w:r w:rsidRPr="00F24900">
        <w:rPr>
          <w:color w:val="70AD47" w:themeColor="accent6"/>
          <w:u w:val="single"/>
          <w:vertAlign w:val="subscript"/>
          <w:lang w:eastAsia="zh-CN"/>
        </w:rPr>
        <w:t>TA</w:t>
      </w:r>
      <w:r w:rsidRPr="00F24900">
        <w:rPr>
          <w:color w:val="70AD47" w:themeColor="accent6"/>
          <w:u w:val="single"/>
        </w:rPr>
        <w:t xml:space="preserve"> value </w:t>
      </w:r>
      <w:r w:rsidRPr="00F24900">
        <w:rPr>
          <w:color w:val="70AD47" w:themeColor="accent6"/>
          <w:u w:val="single"/>
          <w:lang w:eastAsia="ko-KR"/>
        </w:rPr>
        <w:t>(as defined in TS 38.211 [8])</w:t>
      </w:r>
      <w:r w:rsidRPr="00F24900">
        <w:rPr>
          <w:color w:val="70AD47" w:themeColor="accent6"/>
          <w:u w:val="single"/>
        </w:rPr>
        <w:t xml:space="preserve"> to the value indicated by </w:t>
      </w:r>
      <w:proofErr w:type="spellStart"/>
      <w:r w:rsidRPr="00F24900">
        <w:rPr>
          <w:i/>
          <w:iCs/>
          <w:color w:val="70AD47" w:themeColor="accent6"/>
          <w:u w:val="single"/>
        </w:rPr>
        <w:t>targetNTA</w:t>
      </w:r>
      <w:proofErr w:type="spellEnd"/>
      <w:r w:rsidRPr="00F24900">
        <w:rPr>
          <w:i/>
          <w:iCs/>
          <w:color w:val="70AD47" w:themeColor="accent6"/>
          <w:u w:val="single"/>
        </w:rPr>
        <w:t xml:space="preserve"> </w:t>
      </w:r>
      <w:r w:rsidRPr="00F24900">
        <w:rPr>
          <w:color w:val="70AD47" w:themeColor="accent6"/>
          <w:u w:val="single"/>
        </w:rPr>
        <w:t xml:space="preserve">in </w:t>
      </w:r>
      <w:proofErr w:type="spellStart"/>
      <w:r w:rsidRPr="00F24900">
        <w:rPr>
          <w:i/>
          <w:iCs/>
          <w:color w:val="70AD47" w:themeColor="accent6"/>
          <w:u w:val="single"/>
        </w:rPr>
        <w:t>rach-LessHO</w:t>
      </w:r>
      <w:proofErr w:type="spellEnd"/>
      <w:r w:rsidRPr="00F24900">
        <w:rPr>
          <w:color w:val="70AD47" w:themeColor="accent6"/>
          <w:u w:val="single"/>
        </w:rPr>
        <w:t xml:space="preserve"> for PTAG;</w:t>
      </w:r>
    </w:p>
    <w:p w14:paraId="0342A751" w14:textId="77777777" w:rsidR="00F24900" w:rsidRPr="00F24900" w:rsidRDefault="00F24900" w:rsidP="00F24900">
      <w:pPr>
        <w:pStyle w:val="EditorsNote"/>
        <w:rPr>
          <w:rFonts w:eastAsia="SimSun"/>
          <w:color w:val="70AD47" w:themeColor="accent6"/>
          <w:u w:val="single"/>
        </w:rPr>
      </w:pPr>
      <w:r w:rsidRPr="00F24900">
        <w:rPr>
          <w:rFonts w:eastAsia="SimSun"/>
          <w:color w:val="70AD47" w:themeColor="accent6"/>
          <w:u w:val="single"/>
        </w:rPr>
        <w:t xml:space="preserve">Editor’s note: when </w:t>
      </w:r>
      <w:proofErr w:type="spellStart"/>
      <w:r w:rsidRPr="00F24900">
        <w:rPr>
          <w:rFonts w:eastAsia="SimSun"/>
          <w:i/>
          <w:iCs/>
          <w:color w:val="70AD47" w:themeColor="accent6"/>
          <w:u w:val="single"/>
        </w:rPr>
        <w:t>timeAlignmentTimer</w:t>
      </w:r>
      <w:proofErr w:type="spellEnd"/>
      <w:r w:rsidRPr="00F24900">
        <w:rPr>
          <w:rFonts w:eastAsia="SimSun"/>
          <w:color w:val="70AD47" w:themeColor="accent6"/>
          <w:u w:val="single"/>
        </w:rPr>
        <w:t xml:space="preserve"> starts is currently FFS.</w:t>
      </w:r>
    </w:p>
    <w:p w14:paraId="21A255C0" w14:textId="1A6EE194" w:rsidR="00236AB1" w:rsidRDefault="00236AB1" w:rsidP="0033712C">
      <w:pPr>
        <w:rPr>
          <w:color w:val="auto"/>
        </w:rPr>
      </w:pPr>
      <w:r>
        <w:rPr>
          <w:color w:val="auto"/>
        </w:rPr>
        <w:t>We think the required specification changes include:</w:t>
      </w:r>
    </w:p>
    <w:p w14:paraId="55A60DB8" w14:textId="77777777" w:rsidR="00236AB1" w:rsidRDefault="00F24900" w:rsidP="00236AB1">
      <w:pPr>
        <w:pStyle w:val="ListParagraph"/>
        <w:numPr>
          <w:ilvl w:val="0"/>
          <w:numId w:val="86"/>
        </w:numPr>
        <w:ind w:firstLineChars="0"/>
        <w:rPr>
          <w:bCs/>
          <w:iCs/>
        </w:rPr>
      </w:pPr>
      <w:r w:rsidRPr="00236AB1">
        <w:t xml:space="preserve">According to our Proposal 1, </w:t>
      </w:r>
      <w:r w:rsidR="00015330" w:rsidRPr="00236AB1">
        <w:t xml:space="preserve">the IE </w:t>
      </w:r>
      <w:r w:rsidR="00015330" w:rsidRPr="00236AB1">
        <w:rPr>
          <w:i/>
          <w:iCs/>
        </w:rPr>
        <w:t>targetNTA-r18</w:t>
      </w:r>
      <w:r w:rsidR="00015330" w:rsidRPr="00236AB1">
        <w:t xml:space="preserve"> is not needed because only same TA is supported in mobile IAB. Thus, the required change is to specify mobile IAB UE(s) shall use TA of source cell </w:t>
      </w:r>
      <w:r w:rsidR="00015330" w:rsidRPr="00236AB1">
        <w:rPr>
          <w:bCs/>
          <w:iCs/>
        </w:rPr>
        <w:t>for the target PTAG of handover.</w:t>
      </w:r>
      <w:r w:rsidR="00A06BB0" w:rsidRPr="00236AB1">
        <w:rPr>
          <w:bCs/>
          <w:iCs/>
        </w:rPr>
        <w:t xml:space="preserve"> </w:t>
      </w:r>
    </w:p>
    <w:p w14:paraId="71838928" w14:textId="69327894" w:rsidR="00236AB1" w:rsidRDefault="00236AB1" w:rsidP="00236AB1">
      <w:pPr>
        <w:pStyle w:val="ListParagraph"/>
        <w:numPr>
          <w:ilvl w:val="0"/>
          <w:numId w:val="86"/>
        </w:numPr>
        <w:ind w:firstLineChars="0"/>
        <w:rPr>
          <w:bCs/>
          <w:iCs/>
        </w:rPr>
      </w:pPr>
      <w:r>
        <w:rPr>
          <w:bCs/>
          <w:iCs/>
        </w:rPr>
        <w:t xml:space="preserve">The FFS when </w:t>
      </w:r>
      <w:proofErr w:type="spellStart"/>
      <w:r w:rsidRPr="00236AB1">
        <w:rPr>
          <w:bCs/>
          <w:i/>
        </w:rPr>
        <w:t>timeAlignmentTimer</w:t>
      </w:r>
      <w:proofErr w:type="spellEnd"/>
      <w:r w:rsidRPr="00236AB1">
        <w:rPr>
          <w:bCs/>
          <w:i/>
        </w:rPr>
        <w:t xml:space="preserve"> </w:t>
      </w:r>
      <w:r w:rsidRPr="00236AB1">
        <w:rPr>
          <w:bCs/>
          <w:iCs/>
        </w:rPr>
        <w:t>starts</w:t>
      </w:r>
      <w:r>
        <w:rPr>
          <w:bCs/>
          <w:iCs/>
        </w:rPr>
        <w:t xml:space="preserve"> was added because the TA value of NTN may be too large to be covered by </w:t>
      </w:r>
      <w:proofErr w:type="spellStart"/>
      <w:r w:rsidRPr="00236AB1">
        <w:rPr>
          <w:bCs/>
          <w:i/>
        </w:rPr>
        <w:t>timeAlignmentTimer</w:t>
      </w:r>
      <w:proofErr w:type="spellEnd"/>
      <w:r>
        <w:rPr>
          <w:bCs/>
          <w:i/>
        </w:rPr>
        <w:t xml:space="preserve">. </w:t>
      </w:r>
      <w:r w:rsidRPr="00236AB1">
        <w:rPr>
          <w:bCs/>
          <w:iCs/>
        </w:rPr>
        <w:t>Thus, it is a NTN specific FFS, and thereby not applied to mobile IAB RACH-less HO.</w:t>
      </w:r>
    </w:p>
    <w:p w14:paraId="076A8513" w14:textId="1A62A6CF" w:rsidR="00A06BB0" w:rsidRPr="00236AB1" w:rsidRDefault="00A06BB0" w:rsidP="00236AB1">
      <w:pPr>
        <w:rPr>
          <w:bCs/>
          <w:iCs/>
        </w:rPr>
      </w:pPr>
      <w:r w:rsidRPr="00236AB1">
        <w:rPr>
          <w:bCs/>
          <w:iCs/>
        </w:rPr>
        <w:t>An example of the spec change can be found below:</w:t>
      </w:r>
    </w:p>
    <w:p w14:paraId="4061322B" w14:textId="5D0C77AC" w:rsidR="00A06BB0" w:rsidRPr="00A06BB0" w:rsidRDefault="00A06BB0" w:rsidP="00A06BB0">
      <w:pPr>
        <w:pStyle w:val="B1"/>
        <w:rPr>
          <w:color w:val="70AD47" w:themeColor="accent6"/>
          <w:u w:val="single"/>
        </w:rPr>
      </w:pPr>
      <w:r w:rsidRPr="00F24900">
        <w:rPr>
          <w:color w:val="70AD47" w:themeColor="accent6"/>
          <w:u w:val="single"/>
          <w:lang w:eastAsia="ko-KR"/>
        </w:rPr>
        <w:t>1&gt;</w:t>
      </w:r>
      <w:r w:rsidRPr="00F24900">
        <w:rPr>
          <w:color w:val="70AD47" w:themeColor="accent6"/>
          <w:u w:val="single"/>
        </w:rPr>
        <w:tab/>
        <w:t xml:space="preserve">when the MAC entity is configured with </w:t>
      </w:r>
      <w:proofErr w:type="spellStart"/>
      <w:r w:rsidRPr="008E5ED4">
        <w:rPr>
          <w:i/>
          <w:iCs/>
          <w:strike/>
          <w:color w:val="70AD47" w:themeColor="accent6"/>
          <w:u w:val="single"/>
        </w:rPr>
        <w:t>rach-LessHO</w:t>
      </w:r>
      <w:proofErr w:type="spellEnd"/>
      <w:r w:rsidR="008E5ED4" w:rsidRPr="008E5ED4">
        <w:rPr>
          <w:i/>
          <w:iCs/>
          <w:color w:val="FF0000"/>
          <w:u w:val="single"/>
        </w:rPr>
        <w:t xml:space="preserve"> </w:t>
      </w:r>
      <w:proofErr w:type="spellStart"/>
      <w:r w:rsidR="008E5ED4" w:rsidRPr="00A06BB0">
        <w:rPr>
          <w:i/>
          <w:iCs/>
          <w:color w:val="FF0000"/>
          <w:u w:val="single"/>
        </w:rPr>
        <w:t>ntn</w:t>
      </w:r>
      <w:proofErr w:type="spellEnd"/>
      <w:r w:rsidR="008E5ED4" w:rsidRPr="00A06BB0">
        <w:rPr>
          <w:i/>
          <w:iCs/>
          <w:color w:val="FF0000"/>
          <w:u w:val="single"/>
        </w:rPr>
        <w:t>-Rach-</w:t>
      </w:r>
      <w:proofErr w:type="spellStart"/>
      <w:r w:rsidR="008E5ED4" w:rsidRPr="00A06BB0">
        <w:rPr>
          <w:i/>
          <w:iCs/>
          <w:color w:val="FF0000"/>
          <w:u w:val="single"/>
        </w:rPr>
        <w:t>LessHO</w:t>
      </w:r>
      <w:proofErr w:type="spellEnd"/>
      <w:r w:rsidRPr="00F24900">
        <w:rPr>
          <w:color w:val="70AD47" w:themeColor="accent6"/>
          <w:u w:val="single"/>
        </w:rPr>
        <w:t>:</w:t>
      </w:r>
    </w:p>
    <w:p w14:paraId="2CCC5A2A" w14:textId="03A7D959" w:rsidR="00A06BB0" w:rsidRDefault="00A06BB0" w:rsidP="00A06BB0">
      <w:pPr>
        <w:pStyle w:val="B2"/>
        <w:rPr>
          <w:color w:val="70AD47" w:themeColor="accent6"/>
          <w:u w:val="single"/>
        </w:rPr>
      </w:pPr>
      <w:r w:rsidRPr="00F24900">
        <w:rPr>
          <w:color w:val="70AD47" w:themeColor="accent6"/>
          <w:u w:val="single"/>
          <w:lang w:eastAsia="ko-KR"/>
        </w:rPr>
        <w:t>2&gt;</w:t>
      </w:r>
      <w:r w:rsidRPr="00F24900">
        <w:rPr>
          <w:color w:val="70AD47" w:themeColor="accent6"/>
          <w:u w:val="single"/>
          <w:lang w:eastAsia="ko-KR"/>
        </w:rPr>
        <w:tab/>
      </w:r>
      <w:r w:rsidRPr="00F24900">
        <w:rPr>
          <w:color w:val="70AD47" w:themeColor="accent6"/>
          <w:u w:val="single"/>
        </w:rPr>
        <w:t xml:space="preserve">set the </w:t>
      </w:r>
      <w:r w:rsidRPr="00F24900">
        <w:rPr>
          <w:color w:val="70AD47" w:themeColor="accent6"/>
          <w:u w:val="single"/>
          <w:lang w:eastAsia="zh-CN"/>
        </w:rPr>
        <w:t>N</w:t>
      </w:r>
      <w:r w:rsidRPr="00F24900">
        <w:rPr>
          <w:color w:val="70AD47" w:themeColor="accent6"/>
          <w:u w:val="single"/>
          <w:vertAlign w:val="subscript"/>
          <w:lang w:eastAsia="zh-CN"/>
        </w:rPr>
        <w:t>TA</w:t>
      </w:r>
      <w:r w:rsidRPr="00F24900">
        <w:rPr>
          <w:color w:val="70AD47" w:themeColor="accent6"/>
          <w:u w:val="single"/>
        </w:rPr>
        <w:t xml:space="preserve"> value </w:t>
      </w:r>
      <w:r w:rsidRPr="00F24900">
        <w:rPr>
          <w:color w:val="70AD47" w:themeColor="accent6"/>
          <w:u w:val="single"/>
          <w:lang w:eastAsia="ko-KR"/>
        </w:rPr>
        <w:t>(as defined in TS 38.211 [8])</w:t>
      </w:r>
      <w:r w:rsidRPr="00F24900">
        <w:rPr>
          <w:color w:val="70AD47" w:themeColor="accent6"/>
          <w:u w:val="single"/>
        </w:rPr>
        <w:t xml:space="preserve"> to the value indicated by </w:t>
      </w:r>
      <w:proofErr w:type="spellStart"/>
      <w:r w:rsidRPr="00F24900">
        <w:rPr>
          <w:i/>
          <w:iCs/>
          <w:color w:val="70AD47" w:themeColor="accent6"/>
          <w:u w:val="single"/>
        </w:rPr>
        <w:t>targetNTA</w:t>
      </w:r>
      <w:proofErr w:type="spellEnd"/>
      <w:r w:rsidRPr="00F24900">
        <w:rPr>
          <w:i/>
          <w:iCs/>
          <w:color w:val="70AD47" w:themeColor="accent6"/>
          <w:u w:val="single"/>
        </w:rPr>
        <w:t xml:space="preserve"> </w:t>
      </w:r>
      <w:r w:rsidRPr="00F24900">
        <w:rPr>
          <w:color w:val="70AD47" w:themeColor="accent6"/>
          <w:u w:val="single"/>
        </w:rPr>
        <w:t xml:space="preserve">in </w:t>
      </w:r>
      <w:proofErr w:type="spellStart"/>
      <w:r w:rsidRPr="00A06BB0">
        <w:rPr>
          <w:i/>
          <w:iCs/>
          <w:strike/>
          <w:color w:val="70AD47" w:themeColor="accent6"/>
          <w:u w:val="single"/>
        </w:rPr>
        <w:t>rach-LessHO</w:t>
      </w:r>
      <w:proofErr w:type="spellEnd"/>
      <w:r w:rsidRPr="00A06BB0">
        <w:rPr>
          <w:strike/>
          <w:color w:val="70AD47" w:themeColor="accent6"/>
          <w:u w:val="single"/>
        </w:rPr>
        <w:t xml:space="preserve"> </w:t>
      </w:r>
      <w:proofErr w:type="spellStart"/>
      <w:r w:rsidRPr="00A06BB0">
        <w:rPr>
          <w:i/>
          <w:iCs/>
          <w:color w:val="FF0000"/>
          <w:u w:val="single"/>
        </w:rPr>
        <w:t>ntn</w:t>
      </w:r>
      <w:proofErr w:type="spellEnd"/>
      <w:r w:rsidRPr="00A06BB0">
        <w:rPr>
          <w:i/>
          <w:iCs/>
          <w:color w:val="FF0000"/>
          <w:u w:val="single"/>
        </w:rPr>
        <w:t>-Rach-</w:t>
      </w:r>
      <w:proofErr w:type="spellStart"/>
      <w:r w:rsidRPr="00A06BB0">
        <w:rPr>
          <w:i/>
          <w:iCs/>
          <w:color w:val="FF0000"/>
          <w:u w:val="single"/>
        </w:rPr>
        <w:t>LessHO</w:t>
      </w:r>
      <w:proofErr w:type="spellEnd"/>
      <w:r w:rsidRPr="00A06BB0">
        <w:rPr>
          <w:i/>
          <w:iCs/>
          <w:color w:val="FF0000"/>
          <w:u w:val="single"/>
        </w:rPr>
        <w:t xml:space="preserve"> </w:t>
      </w:r>
      <w:r w:rsidRPr="00A06BB0">
        <w:rPr>
          <w:color w:val="70AD47" w:themeColor="accent6"/>
          <w:u w:val="single"/>
        </w:rPr>
        <w:t>for</w:t>
      </w:r>
      <w:r w:rsidRPr="00F24900">
        <w:rPr>
          <w:color w:val="70AD47" w:themeColor="accent6"/>
          <w:u w:val="single"/>
        </w:rPr>
        <w:t xml:space="preserve"> PTAG;</w:t>
      </w:r>
    </w:p>
    <w:p w14:paraId="5A99D4F6" w14:textId="691141A8" w:rsidR="000937B4" w:rsidRPr="000937B4" w:rsidRDefault="000937B4" w:rsidP="000937B4">
      <w:pPr>
        <w:pStyle w:val="EditorsNote"/>
        <w:rPr>
          <w:rFonts w:eastAsia="SimSun"/>
          <w:color w:val="70AD47" w:themeColor="accent6"/>
          <w:u w:val="single"/>
        </w:rPr>
      </w:pPr>
      <w:r w:rsidRPr="00F24900">
        <w:rPr>
          <w:rFonts w:eastAsia="SimSun"/>
          <w:color w:val="70AD47" w:themeColor="accent6"/>
          <w:u w:val="single"/>
        </w:rPr>
        <w:t xml:space="preserve">Editor’s note: when </w:t>
      </w:r>
      <w:proofErr w:type="spellStart"/>
      <w:r w:rsidRPr="00F24900">
        <w:rPr>
          <w:rFonts w:eastAsia="SimSun"/>
          <w:i/>
          <w:iCs/>
          <w:color w:val="70AD47" w:themeColor="accent6"/>
          <w:u w:val="single"/>
        </w:rPr>
        <w:t>timeAlignmentTimer</w:t>
      </w:r>
      <w:proofErr w:type="spellEnd"/>
      <w:r w:rsidRPr="00F24900">
        <w:rPr>
          <w:rFonts w:eastAsia="SimSun"/>
          <w:color w:val="70AD47" w:themeColor="accent6"/>
          <w:u w:val="single"/>
        </w:rPr>
        <w:t xml:space="preserve"> starts is currently FFS.</w:t>
      </w:r>
    </w:p>
    <w:p w14:paraId="7915226A" w14:textId="7BC3D8BD" w:rsidR="008E5ED4" w:rsidRDefault="008E5ED4" w:rsidP="008E5ED4">
      <w:pPr>
        <w:pStyle w:val="B1"/>
        <w:rPr>
          <w:color w:val="70AD47" w:themeColor="accent6"/>
          <w:u w:val="single"/>
        </w:rPr>
      </w:pPr>
      <w:r w:rsidRPr="008E5ED4">
        <w:rPr>
          <w:color w:val="FF0000"/>
          <w:u w:val="single"/>
          <w:lang w:eastAsia="ko-KR"/>
        </w:rPr>
        <w:t>1&gt;</w:t>
      </w:r>
      <w:r w:rsidRPr="008E5ED4">
        <w:rPr>
          <w:color w:val="FF0000"/>
          <w:u w:val="single"/>
        </w:rPr>
        <w:tab/>
        <w:t xml:space="preserve">when the MAC entity is configured with </w:t>
      </w:r>
      <w:proofErr w:type="spellStart"/>
      <w:r>
        <w:rPr>
          <w:i/>
          <w:iCs/>
          <w:color w:val="FF0000"/>
          <w:u w:val="single"/>
        </w:rPr>
        <w:t>miab</w:t>
      </w:r>
      <w:proofErr w:type="spellEnd"/>
      <w:r w:rsidRPr="00A06BB0">
        <w:rPr>
          <w:i/>
          <w:iCs/>
          <w:color w:val="FF0000"/>
          <w:u w:val="single"/>
        </w:rPr>
        <w:t>-Rach-</w:t>
      </w:r>
      <w:proofErr w:type="spellStart"/>
      <w:r w:rsidRPr="00A06BB0">
        <w:rPr>
          <w:i/>
          <w:iCs/>
          <w:color w:val="FF0000"/>
          <w:u w:val="single"/>
        </w:rPr>
        <w:t>LessHO</w:t>
      </w:r>
      <w:proofErr w:type="spellEnd"/>
      <w:r w:rsidRPr="00F24900">
        <w:rPr>
          <w:color w:val="70AD47" w:themeColor="accent6"/>
          <w:u w:val="single"/>
        </w:rPr>
        <w:t>:</w:t>
      </w:r>
    </w:p>
    <w:p w14:paraId="27F28392" w14:textId="45AAAD53" w:rsidR="00924CC1" w:rsidRPr="00924CC1" w:rsidRDefault="00924CC1" w:rsidP="00924CC1">
      <w:pPr>
        <w:pStyle w:val="B2"/>
        <w:rPr>
          <w:color w:val="FF0000"/>
          <w:u w:val="single"/>
          <w:lang w:eastAsia="ko-KR"/>
        </w:rPr>
      </w:pPr>
      <w:r w:rsidRPr="00A06BB0">
        <w:rPr>
          <w:color w:val="FF0000"/>
          <w:u w:val="single"/>
          <w:lang w:eastAsia="ko-KR"/>
        </w:rPr>
        <w:t>2&gt;</w:t>
      </w:r>
      <w:r w:rsidRPr="00A06BB0">
        <w:rPr>
          <w:color w:val="FF0000"/>
          <w:u w:val="single"/>
          <w:lang w:eastAsia="ko-KR"/>
        </w:rPr>
        <w:tab/>
      </w:r>
      <w:r w:rsidRPr="00924CC1">
        <w:rPr>
          <w:color w:val="FF0000"/>
          <w:u w:val="single"/>
          <w:lang w:eastAsia="ko-KR"/>
        </w:rPr>
        <w:t xml:space="preserve">apply timing advance value </w:t>
      </w:r>
      <w:r>
        <w:rPr>
          <w:color w:val="FF0000"/>
          <w:u w:val="single"/>
          <w:lang w:eastAsia="ko-KR"/>
        </w:rPr>
        <w:t xml:space="preserve">of source cell </w:t>
      </w:r>
      <w:r w:rsidRPr="00924CC1">
        <w:rPr>
          <w:color w:val="FF0000"/>
          <w:u w:val="single"/>
          <w:lang w:eastAsia="ko-KR"/>
        </w:rPr>
        <w:t xml:space="preserve">for the </w:t>
      </w:r>
      <w:proofErr w:type="spellStart"/>
      <w:r w:rsidRPr="00924CC1">
        <w:rPr>
          <w:color w:val="FF0000"/>
          <w:u w:val="single"/>
          <w:lang w:eastAsia="ko-KR"/>
        </w:rPr>
        <w:t>pTAG</w:t>
      </w:r>
      <w:proofErr w:type="spellEnd"/>
      <w:r w:rsidRPr="00924CC1">
        <w:rPr>
          <w:color w:val="FF0000"/>
          <w:u w:val="single"/>
          <w:lang w:eastAsia="ko-KR"/>
        </w:rPr>
        <w:t>;</w:t>
      </w:r>
    </w:p>
    <w:p w14:paraId="162A10DF" w14:textId="77777777" w:rsidR="00585CFB" w:rsidRDefault="00585CFB" w:rsidP="00585CFB">
      <w:pPr>
        <w:rPr>
          <w:b/>
          <w:bCs/>
          <w:color w:val="auto"/>
        </w:rPr>
      </w:pPr>
    </w:p>
    <w:p w14:paraId="3D9C8D79" w14:textId="03D8BF19" w:rsidR="00585CFB" w:rsidRDefault="00585CFB" w:rsidP="00585CFB">
      <w:pPr>
        <w:rPr>
          <w:b/>
          <w:bCs/>
          <w:color w:val="auto"/>
        </w:rPr>
      </w:pPr>
      <w:r>
        <w:rPr>
          <w:b/>
          <w:bCs/>
          <w:color w:val="auto"/>
        </w:rPr>
        <w:t xml:space="preserve">Proposal 2: On top of NTN </w:t>
      </w:r>
      <w:r w:rsidR="00320CB1">
        <w:rPr>
          <w:b/>
          <w:bCs/>
          <w:color w:val="auto"/>
        </w:rPr>
        <w:t>MAC</w:t>
      </w:r>
      <w:r>
        <w:rPr>
          <w:b/>
          <w:bCs/>
          <w:color w:val="auto"/>
        </w:rPr>
        <w:t xml:space="preserve"> running CR (</w:t>
      </w:r>
      <w:r w:rsidRPr="00B401F8">
        <w:rPr>
          <w:b/>
          <w:bCs/>
          <w:color w:val="auto"/>
        </w:rPr>
        <w:t>R2-230934</w:t>
      </w:r>
      <w:r w:rsidR="00320CB1">
        <w:rPr>
          <w:b/>
          <w:bCs/>
          <w:color w:val="auto"/>
        </w:rPr>
        <w:t>5</w:t>
      </w:r>
      <w:r w:rsidRPr="00B401F8">
        <w:rPr>
          <w:b/>
          <w:bCs/>
          <w:color w:val="auto"/>
        </w:rPr>
        <w:t>)</w:t>
      </w:r>
      <w:r>
        <w:rPr>
          <w:b/>
          <w:bCs/>
          <w:color w:val="auto"/>
        </w:rPr>
        <w:t>, the following changes in section 5.2 are needed:</w:t>
      </w:r>
    </w:p>
    <w:bookmarkEnd w:id="3"/>
    <w:bookmarkEnd w:id="4"/>
    <w:p w14:paraId="3BD63C8C" w14:textId="271D592B" w:rsidR="00585CFB" w:rsidRPr="00585CFB" w:rsidRDefault="00585CFB" w:rsidP="00585CFB">
      <w:pPr>
        <w:pStyle w:val="ListParagraph"/>
        <w:numPr>
          <w:ilvl w:val="0"/>
          <w:numId w:val="88"/>
        </w:numPr>
        <w:ind w:firstLineChars="0"/>
        <w:rPr>
          <w:b/>
          <w:bCs/>
          <w:iCs/>
        </w:rPr>
      </w:pPr>
      <w:r>
        <w:rPr>
          <w:b/>
          <w:bCs/>
        </w:rPr>
        <w:t>Because</w:t>
      </w:r>
      <w:r w:rsidRPr="00585CFB">
        <w:rPr>
          <w:b/>
          <w:bCs/>
        </w:rPr>
        <w:t xml:space="preserve"> the IE </w:t>
      </w:r>
      <w:r w:rsidRPr="00585CFB">
        <w:rPr>
          <w:b/>
          <w:bCs/>
          <w:i/>
          <w:iCs/>
        </w:rPr>
        <w:t>targetNTA-r18</w:t>
      </w:r>
      <w:r w:rsidRPr="00585CFB">
        <w:rPr>
          <w:b/>
          <w:bCs/>
        </w:rPr>
        <w:t xml:space="preserve"> is not needed</w:t>
      </w:r>
      <w:r>
        <w:rPr>
          <w:b/>
          <w:bCs/>
        </w:rPr>
        <w:t xml:space="preserve"> </w:t>
      </w:r>
      <w:r w:rsidRPr="00585CFB">
        <w:rPr>
          <w:b/>
          <w:bCs/>
        </w:rPr>
        <w:t>in mobile IAB</w:t>
      </w:r>
      <w:r>
        <w:rPr>
          <w:b/>
          <w:bCs/>
        </w:rPr>
        <w:t>, add</w:t>
      </w:r>
      <w:r w:rsidRPr="00585CFB">
        <w:rPr>
          <w:b/>
          <w:bCs/>
        </w:rPr>
        <w:t xml:space="preserve"> specif</w:t>
      </w:r>
      <w:r>
        <w:rPr>
          <w:b/>
          <w:bCs/>
        </w:rPr>
        <w:t>ication that</w:t>
      </w:r>
      <w:r w:rsidRPr="00585CFB">
        <w:rPr>
          <w:b/>
          <w:bCs/>
        </w:rPr>
        <w:t xml:space="preserve"> mobile IAB UE(s) shall use TA of source cell </w:t>
      </w:r>
      <w:r w:rsidRPr="00585CFB">
        <w:rPr>
          <w:b/>
          <w:bCs/>
          <w:iCs/>
        </w:rPr>
        <w:t xml:space="preserve">for the target PTAG of handover. </w:t>
      </w:r>
    </w:p>
    <w:p w14:paraId="24DDA246" w14:textId="70CE6081" w:rsidR="00585CFB" w:rsidRDefault="00585CFB" w:rsidP="00585CFB">
      <w:pPr>
        <w:pStyle w:val="ListParagraph"/>
        <w:numPr>
          <w:ilvl w:val="0"/>
          <w:numId w:val="88"/>
        </w:numPr>
        <w:ind w:firstLineChars="0"/>
        <w:rPr>
          <w:b/>
          <w:bCs/>
          <w:iCs/>
        </w:rPr>
      </w:pPr>
      <w:r w:rsidRPr="00585CFB">
        <w:rPr>
          <w:b/>
          <w:bCs/>
          <w:iCs/>
        </w:rPr>
        <w:t xml:space="preserve">The FFS when </w:t>
      </w:r>
      <w:proofErr w:type="spellStart"/>
      <w:r w:rsidRPr="00585CFB">
        <w:rPr>
          <w:b/>
          <w:bCs/>
          <w:i/>
        </w:rPr>
        <w:t>timeAlignmentTimer</w:t>
      </w:r>
      <w:proofErr w:type="spellEnd"/>
      <w:r w:rsidRPr="00585CFB">
        <w:rPr>
          <w:b/>
          <w:bCs/>
          <w:i/>
        </w:rPr>
        <w:t xml:space="preserve"> </w:t>
      </w:r>
      <w:r w:rsidRPr="00585CFB">
        <w:rPr>
          <w:b/>
          <w:bCs/>
          <w:iCs/>
        </w:rPr>
        <w:t xml:space="preserve">starts is a NTN specific </w:t>
      </w:r>
      <w:r>
        <w:rPr>
          <w:b/>
          <w:bCs/>
          <w:iCs/>
        </w:rPr>
        <w:t>one</w:t>
      </w:r>
      <w:r w:rsidRPr="00585CFB">
        <w:rPr>
          <w:b/>
          <w:bCs/>
          <w:iCs/>
        </w:rPr>
        <w:t>, and thereby not applied to mobile IAB RACH-less HO.</w:t>
      </w:r>
    </w:p>
    <w:p w14:paraId="33FF7E24" w14:textId="5DCAD182" w:rsidR="00AF7674" w:rsidRPr="008155D6" w:rsidRDefault="008155D6" w:rsidP="00AF7674">
      <w:pPr>
        <w:rPr>
          <w:bCs/>
          <w:iCs/>
        </w:rPr>
      </w:pPr>
      <w:r w:rsidRPr="008155D6">
        <w:rPr>
          <w:iCs/>
        </w:rPr>
        <w:t>Then, in Section</w:t>
      </w:r>
      <w:r>
        <w:rPr>
          <w:iCs/>
        </w:rPr>
        <w:t xml:space="preserve"> 5.8.2 and Section 5.XX, the UE behavior to handle CG Type 1 in </w:t>
      </w:r>
      <w:proofErr w:type="spellStart"/>
      <w:r>
        <w:rPr>
          <w:iCs/>
        </w:rPr>
        <w:t>preallocated</w:t>
      </w:r>
      <w:proofErr w:type="spellEnd"/>
      <w:r>
        <w:rPr>
          <w:iCs/>
        </w:rPr>
        <w:t xml:space="preserve"> uplink grant needs some change because the NW may configure a different SSB RSRP threshold according to our Proposal 1, i.e. </w:t>
      </w:r>
      <w:proofErr w:type="spellStart"/>
      <w:r w:rsidRPr="008155D6">
        <w:rPr>
          <w:i/>
          <w:iCs/>
          <w:color w:val="000000" w:themeColor="text1"/>
          <w:lang w:eastAsia="zh-CN"/>
        </w:rPr>
        <w:t>ntn</w:t>
      </w:r>
      <w:proofErr w:type="spellEnd"/>
      <w:r w:rsidRPr="008155D6">
        <w:rPr>
          <w:i/>
          <w:iCs/>
          <w:color w:val="000000" w:themeColor="text1"/>
          <w:lang w:eastAsia="zh-CN"/>
        </w:rPr>
        <w:t>-RSRP-</w:t>
      </w:r>
      <w:proofErr w:type="spellStart"/>
      <w:r w:rsidRPr="008155D6">
        <w:rPr>
          <w:i/>
          <w:iCs/>
          <w:color w:val="000000" w:themeColor="text1"/>
          <w:lang w:eastAsia="zh-CN"/>
        </w:rPr>
        <w:t>ThresholdSSB</w:t>
      </w:r>
      <w:proofErr w:type="spellEnd"/>
      <w:r w:rsidRPr="008155D6">
        <w:rPr>
          <w:i/>
          <w:iCs/>
          <w:color w:val="000000" w:themeColor="text1"/>
          <w:lang w:eastAsia="zh-CN"/>
        </w:rPr>
        <w:t xml:space="preserve"> -&gt; </w:t>
      </w:r>
      <w:proofErr w:type="spellStart"/>
      <w:r w:rsidRPr="008155D6">
        <w:rPr>
          <w:i/>
          <w:iCs/>
          <w:color w:val="000000" w:themeColor="text1"/>
          <w:lang w:eastAsia="zh-CN"/>
        </w:rPr>
        <w:t>miab</w:t>
      </w:r>
      <w:proofErr w:type="spellEnd"/>
      <w:r w:rsidRPr="008155D6">
        <w:rPr>
          <w:i/>
          <w:iCs/>
          <w:color w:val="000000" w:themeColor="text1"/>
          <w:lang w:eastAsia="zh-CN"/>
        </w:rPr>
        <w:t>-RSRP-</w:t>
      </w:r>
      <w:proofErr w:type="spellStart"/>
      <w:r w:rsidRPr="008155D6">
        <w:rPr>
          <w:i/>
          <w:iCs/>
          <w:color w:val="000000" w:themeColor="text1"/>
          <w:lang w:eastAsia="zh-CN"/>
        </w:rPr>
        <w:t>ThresholdSSB</w:t>
      </w:r>
      <w:proofErr w:type="spellEnd"/>
      <w:r>
        <w:rPr>
          <w:i/>
          <w:iCs/>
          <w:color w:val="000000" w:themeColor="text1"/>
          <w:lang w:eastAsia="zh-CN"/>
        </w:rPr>
        <w:t xml:space="preserve">. </w:t>
      </w:r>
      <w:r w:rsidRPr="00236AB1">
        <w:rPr>
          <w:bCs/>
          <w:iCs/>
        </w:rPr>
        <w:t xml:space="preserve">An example of the spec change </w:t>
      </w:r>
      <w:r>
        <w:rPr>
          <w:bCs/>
          <w:iCs/>
        </w:rPr>
        <w:t xml:space="preserve">in Section 5.8.2 </w:t>
      </w:r>
      <w:r w:rsidRPr="00236AB1">
        <w:rPr>
          <w:bCs/>
          <w:iCs/>
        </w:rPr>
        <w:t>can be found below:</w:t>
      </w:r>
    </w:p>
    <w:p w14:paraId="26567C84" w14:textId="77777777" w:rsidR="008155D6" w:rsidRPr="008155D6" w:rsidRDefault="008155D6" w:rsidP="008155D6">
      <w:pPr>
        <w:rPr>
          <w:color w:val="70AD47" w:themeColor="accent6"/>
          <w:lang w:eastAsia="zh-CN"/>
        </w:rPr>
      </w:pPr>
      <w:r w:rsidRPr="008155D6">
        <w:rPr>
          <w:color w:val="70AD47" w:themeColor="accent6"/>
          <w:lang w:eastAsia="zh-CN"/>
        </w:rPr>
        <w:t xml:space="preserve">For a </w:t>
      </w:r>
      <w:proofErr w:type="spellStart"/>
      <w:r w:rsidRPr="008155D6">
        <w:rPr>
          <w:color w:val="70AD47" w:themeColor="accent6"/>
          <w:lang w:eastAsia="zh-CN"/>
        </w:rPr>
        <w:t>preallocated</w:t>
      </w:r>
      <w:proofErr w:type="spellEnd"/>
      <w:r w:rsidRPr="008155D6">
        <w:rPr>
          <w:color w:val="70AD47" w:themeColor="accent6"/>
          <w:lang w:eastAsia="zh-CN"/>
        </w:rPr>
        <w:t xml:space="preserve"> uplink grant configured for configured grant Type 1, for each configured uplink grant valid according to TS 38.214 [7] for which the above formula is satisfied, the MAC entity shall:</w:t>
      </w:r>
    </w:p>
    <w:p w14:paraId="5EF39E95" w14:textId="0E1EBB8E" w:rsidR="008155D6" w:rsidRPr="008155D6" w:rsidRDefault="008155D6" w:rsidP="008155D6">
      <w:pPr>
        <w:pStyle w:val="B1"/>
        <w:rPr>
          <w:color w:val="70AD47" w:themeColor="accent6"/>
          <w:lang w:eastAsia="zh-CN"/>
        </w:rPr>
      </w:pPr>
      <w:r w:rsidRPr="008155D6">
        <w:rPr>
          <w:color w:val="70AD47" w:themeColor="accent6"/>
          <w:lang w:eastAsia="zh-CN"/>
        </w:rPr>
        <w:t xml:space="preserve">1&gt; if at least one SSB configured for </w:t>
      </w:r>
      <w:proofErr w:type="spellStart"/>
      <w:r w:rsidRPr="008155D6">
        <w:rPr>
          <w:color w:val="70AD47" w:themeColor="accent6"/>
          <w:lang w:eastAsia="zh-CN"/>
        </w:rPr>
        <w:t>preallocated</w:t>
      </w:r>
      <w:proofErr w:type="spellEnd"/>
      <w:r w:rsidRPr="008155D6">
        <w:rPr>
          <w:color w:val="70AD47" w:themeColor="accent6"/>
          <w:lang w:eastAsia="zh-CN"/>
        </w:rPr>
        <w:t xml:space="preserve"> uplink grant with SS-RSRP above </w:t>
      </w:r>
      <w:proofErr w:type="spellStart"/>
      <w:r w:rsidRPr="008155D6">
        <w:rPr>
          <w:i/>
          <w:iCs/>
          <w:strike/>
          <w:color w:val="70AD47" w:themeColor="accent6"/>
          <w:lang w:eastAsia="zh-CN"/>
        </w:rPr>
        <w:t>ntn</w:t>
      </w:r>
      <w:proofErr w:type="spellEnd"/>
      <w:r w:rsidRPr="008155D6">
        <w:rPr>
          <w:i/>
          <w:iCs/>
          <w:strike/>
          <w:color w:val="70AD47" w:themeColor="accent6"/>
          <w:lang w:eastAsia="zh-CN"/>
        </w:rPr>
        <w:t>-RSRP-</w:t>
      </w:r>
      <w:proofErr w:type="spellStart"/>
      <w:r w:rsidRPr="008155D6">
        <w:rPr>
          <w:i/>
          <w:iCs/>
          <w:strike/>
          <w:color w:val="70AD47" w:themeColor="accent6"/>
          <w:lang w:eastAsia="zh-CN"/>
        </w:rPr>
        <w:t>ThresholdSSB</w:t>
      </w:r>
      <w:proofErr w:type="spellEnd"/>
      <w:r w:rsidRPr="008155D6">
        <w:rPr>
          <w:i/>
          <w:iCs/>
          <w:color w:val="000000" w:themeColor="text1"/>
          <w:lang w:eastAsia="zh-CN"/>
        </w:rPr>
        <w:t xml:space="preserve"> </w:t>
      </w:r>
      <w:proofErr w:type="spellStart"/>
      <w:r w:rsidRPr="008155D6">
        <w:rPr>
          <w:i/>
          <w:iCs/>
          <w:color w:val="FF0000"/>
          <w:u w:val="single"/>
          <w:lang w:eastAsia="zh-CN"/>
        </w:rPr>
        <w:t>miab</w:t>
      </w:r>
      <w:proofErr w:type="spellEnd"/>
      <w:r w:rsidRPr="008155D6">
        <w:rPr>
          <w:i/>
          <w:iCs/>
          <w:color w:val="FF0000"/>
          <w:u w:val="single"/>
          <w:lang w:eastAsia="zh-CN"/>
        </w:rPr>
        <w:t>-RSRP-</w:t>
      </w:r>
      <w:proofErr w:type="spellStart"/>
      <w:r w:rsidRPr="008155D6">
        <w:rPr>
          <w:i/>
          <w:iCs/>
          <w:color w:val="FF0000"/>
          <w:u w:val="single"/>
          <w:lang w:eastAsia="zh-CN"/>
        </w:rPr>
        <w:t>ThresholdSSB</w:t>
      </w:r>
      <w:proofErr w:type="spellEnd"/>
      <w:r w:rsidRPr="008155D6">
        <w:rPr>
          <w:color w:val="70AD47" w:themeColor="accent6"/>
          <w:lang w:eastAsia="zh-CN"/>
        </w:rPr>
        <w:t xml:space="preserve"> is available:</w:t>
      </w:r>
    </w:p>
    <w:p w14:paraId="431790AC" w14:textId="58AE54F4" w:rsidR="008155D6" w:rsidRPr="008155D6" w:rsidRDefault="008155D6" w:rsidP="008155D6">
      <w:pPr>
        <w:pStyle w:val="B2"/>
        <w:rPr>
          <w:color w:val="70AD47" w:themeColor="accent6"/>
          <w:lang w:eastAsia="zh-CN"/>
        </w:rPr>
      </w:pPr>
      <w:r w:rsidRPr="008155D6">
        <w:rPr>
          <w:color w:val="70AD47" w:themeColor="accent6"/>
          <w:lang w:eastAsia="zh-CN"/>
        </w:rPr>
        <w:t xml:space="preserve">2&gt; select an SSB with SS-RSRP above </w:t>
      </w:r>
      <w:proofErr w:type="spellStart"/>
      <w:r w:rsidRPr="008155D6">
        <w:rPr>
          <w:i/>
          <w:iCs/>
          <w:strike/>
          <w:color w:val="70AD47" w:themeColor="accent6"/>
          <w:lang w:eastAsia="zh-CN"/>
        </w:rPr>
        <w:t>ntn</w:t>
      </w:r>
      <w:proofErr w:type="spellEnd"/>
      <w:r w:rsidRPr="008155D6">
        <w:rPr>
          <w:i/>
          <w:iCs/>
          <w:strike/>
          <w:color w:val="70AD47" w:themeColor="accent6"/>
          <w:lang w:eastAsia="zh-CN"/>
        </w:rPr>
        <w:t>-RSRP-</w:t>
      </w:r>
      <w:proofErr w:type="spellStart"/>
      <w:r w:rsidRPr="008155D6">
        <w:rPr>
          <w:i/>
          <w:iCs/>
          <w:strike/>
          <w:color w:val="70AD47" w:themeColor="accent6"/>
          <w:lang w:eastAsia="zh-CN"/>
        </w:rPr>
        <w:t>ThresholdSSB</w:t>
      </w:r>
      <w:proofErr w:type="spellEnd"/>
      <w:r w:rsidRPr="008155D6">
        <w:rPr>
          <w:i/>
          <w:iCs/>
          <w:color w:val="000000" w:themeColor="text1"/>
          <w:lang w:eastAsia="zh-CN"/>
        </w:rPr>
        <w:t xml:space="preserve"> </w:t>
      </w:r>
      <w:proofErr w:type="spellStart"/>
      <w:r w:rsidRPr="008155D6">
        <w:rPr>
          <w:i/>
          <w:iCs/>
          <w:color w:val="FF0000"/>
          <w:u w:val="single"/>
          <w:lang w:eastAsia="zh-CN"/>
        </w:rPr>
        <w:t>miab</w:t>
      </w:r>
      <w:proofErr w:type="spellEnd"/>
      <w:r w:rsidRPr="008155D6">
        <w:rPr>
          <w:i/>
          <w:iCs/>
          <w:color w:val="FF0000"/>
          <w:u w:val="single"/>
          <w:lang w:eastAsia="zh-CN"/>
        </w:rPr>
        <w:t>-RSRP-</w:t>
      </w:r>
      <w:proofErr w:type="spellStart"/>
      <w:r w:rsidRPr="008155D6">
        <w:rPr>
          <w:i/>
          <w:iCs/>
          <w:color w:val="FF0000"/>
          <w:u w:val="single"/>
          <w:lang w:eastAsia="zh-CN"/>
        </w:rPr>
        <w:t>ThresholdSSB</w:t>
      </w:r>
      <w:proofErr w:type="spellEnd"/>
      <w:r w:rsidRPr="008155D6">
        <w:rPr>
          <w:color w:val="70AD47" w:themeColor="accent6"/>
          <w:lang w:eastAsia="zh-CN"/>
        </w:rPr>
        <w:t xml:space="preserve"> amongst the SSB(s) associated with the </w:t>
      </w:r>
      <w:proofErr w:type="spellStart"/>
      <w:r w:rsidRPr="008155D6">
        <w:rPr>
          <w:color w:val="70AD47" w:themeColor="accent6"/>
          <w:lang w:eastAsia="zh-CN"/>
        </w:rPr>
        <w:t>preallocated</w:t>
      </w:r>
      <w:proofErr w:type="spellEnd"/>
      <w:r w:rsidRPr="008155D6">
        <w:rPr>
          <w:color w:val="70AD47" w:themeColor="accent6"/>
          <w:lang w:eastAsia="zh-CN"/>
        </w:rPr>
        <w:t xml:space="preserve"> uplink grant;</w:t>
      </w:r>
    </w:p>
    <w:p w14:paraId="7A15E874" w14:textId="77777777" w:rsidR="008155D6" w:rsidRPr="008155D6" w:rsidRDefault="008155D6" w:rsidP="008155D6">
      <w:pPr>
        <w:pStyle w:val="B2"/>
        <w:rPr>
          <w:color w:val="70AD47" w:themeColor="accent6"/>
        </w:rPr>
      </w:pPr>
      <w:r w:rsidRPr="008155D6">
        <w:rPr>
          <w:color w:val="70AD47" w:themeColor="accent6"/>
        </w:rPr>
        <w:lastRenderedPageBreak/>
        <w:t>2&gt;</w:t>
      </w:r>
      <w:r w:rsidRPr="008155D6">
        <w:rPr>
          <w:color w:val="70AD47" w:themeColor="accent6"/>
        </w:rPr>
        <w:tab/>
        <w:t>indicate the selected SSB index to the lower layer;</w:t>
      </w:r>
    </w:p>
    <w:p w14:paraId="35839F68" w14:textId="77777777" w:rsidR="008155D6" w:rsidRPr="008155D6" w:rsidRDefault="008155D6" w:rsidP="008155D6">
      <w:pPr>
        <w:pStyle w:val="B2"/>
        <w:rPr>
          <w:color w:val="70AD47" w:themeColor="accent6"/>
        </w:rPr>
      </w:pPr>
      <w:r w:rsidRPr="008155D6">
        <w:rPr>
          <w:color w:val="70AD47" w:themeColor="accent6"/>
        </w:rPr>
        <w:t>2&gt;</w:t>
      </w:r>
      <w:r w:rsidRPr="008155D6">
        <w:rPr>
          <w:color w:val="70AD47" w:themeColor="accent6"/>
        </w:rPr>
        <w:tab/>
        <w:t xml:space="preserve">consider this </w:t>
      </w:r>
      <w:proofErr w:type="spellStart"/>
      <w:r w:rsidRPr="008155D6">
        <w:rPr>
          <w:color w:val="70AD47" w:themeColor="accent6"/>
        </w:rPr>
        <w:t>preallocated</w:t>
      </w:r>
      <w:proofErr w:type="spellEnd"/>
      <w:r w:rsidRPr="008155D6">
        <w:rPr>
          <w:color w:val="70AD47" w:themeColor="accent6"/>
        </w:rPr>
        <w:t xml:space="preserve"> uplink grant as valid.</w:t>
      </w:r>
    </w:p>
    <w:p w14:paraId="1587169A" w14:textId="77777777" w:rsidR="008155D6" w:rsidRPr="008155D6" w:rsidRDefault="008155D6" w:rsidP="008155D6">
      <w:pPr>
        <w:pStyle w:val="B1"/>
        <w:rPr>
          <w:color w:val="70AD47" w:themeColor="accent6"/>
          <w:lang w:eastAsia="zh-CN"/>
        </w:rPr>
      </w:pPr>
      <w:r w:rsidRPr="008155D6">
        <w:rPr>
          <w:color w:val="70AD47" w:themeColor="accent6"/>
          <w:lang w:eastAsia="zh-CN"/>
        </w:rPr>
        <w:t>1&gt;</w:t>
      </w:r>
      <w:r w:rsidRPr="008155D6">
        <w:rPr>
          <w:color w:val="70AD47" w:themeColor="accent6"/>
          <w:lang w:eastAsia="zh-CN"/>
        </w:rPr>
        <w:tab/>
        <w:t>else:</w:t>
      </w:r>
    </w:p>
    <w:p w14:paraId="7A7ABFCC" w14:textId="77777777" w:rsidR="008155D6" w:rsidRPr="008155D6" w:rsidRDefault="008155D6" w:rsidP="008155D6">
      <w:pPr>
        <w:pStyle w:val="B2"/>
        <w:rPr>
          <w:color w:val="70AD47" w:themeColor="accent6"/>
        </w:rPr>
      </w:pPr>
      <w:r w:rsidRPr="008155D6">
        <w:rPr>
          <w:color w:val="70AD47" w:themeColor="accent6"/>
        </w:rPr>
        <w:t>2&gt;</w:t>
      </w:r>
      <w:r w:rsidRPr="008155D6">
        <w:rPr>
          <w:color w:val="70AD47" w:themeColor="accent6"/>
        </w:rPr>
        <w:tab/>
        <w:t xml:space="preserve">consider this </w:t>
      </w:r>
      <w:proofErr w:type="spellStart"/>
      <w:r w:rsidRPr="008155D6">
        <w:rPr>
          <w:color w:val="70AD47" w:themeColor="accent6"/>
        </w:rPr>
        <w:t>preallocated</w:t>
      </w:r>
      <w:proofErr w:type="spellEnd"/>
      <w:r w:rsidRPr="008155D6">
        <w:rPr>
          <w:color w:val="70AD47" w:themeColor="accent6"/>
        </w:rPr>
        <w:t xml:space="preserve"> uplink grant as not valid;</w:t>
      </w:r>
    </w:p>
    <w:p w14:paraId="521CFB9B" w14:textId="77777777" w:rsidR="008155D6" w:rsidRPr="008155D6" w:rsidRDefault="008155D6" w:rsidP="008155D6">
      <w:pPr>
        <w:pStyle w:val="B2"/>
        <w:rPr>
          <w:color w:val="70AD47" w:themeColor="accent6"/>
        </w:rPr>
      </w:pPr>
      <w:r w:rsidRPr="008155D6">
        <w:rPr>
          <w:color w:val="70AD47" w:themeColor="accent6"/>
        </w:rPr>
        <w:t>2&gt;</w:t>
      </w:r>
      <w:r w:rsidRPr="008155D6">
        <w:rPr>
          <w:color w:val="70AD47" w:themeColor="accent6"/>
        </w:rPr>
        <w:tab/>
        <w:t>initiate Random Access procedure in clause 5.1.</w:t>
      </w:r>
    </w:p>
    <w:p w14:paraId="3CED44F2" w14:textId="33D783B9" w:rsidR="008155D6" w:rsidRPr="008155D6" w:rsidRDefault="008155D6" w:rsidP="008155D6">
      <w:pPr>
        <w:pStyle w:val="EditorsNote"/>
        <w:rPr>
          <w:color w:val="70AD47" w:themeColor="accent6"/>
          <w:lang w:eastAsia="ko-KR"/>
        </w:rPr>
      </w:pPr>
      <w:r w:rsidRPr="008155D6">
        <w:rPr>
          <w:color w:val="70AD47" w:themeColor="accent6"/>
          <w:lang w:eastAsia="ko-KR"/>
        </w:rPr>
        <w:t xml:space="preserve">Editor’s note: </w:t>
      </w:r>
      <w:r w:rsidRPr="008155D6">
        <w:rPr>
          <w:i/>
          <w:iCs/>
          <w:color w:val="70AD47" w:themeColor="accent6"/>
          <w:lang w:eastAsia="ko-KR"/>
        </w:rPr>
        <w:t>Editor:</w:t>
      </w:r>
      <w:r w:rsidRPr="008155D6">
        <w:rPr>
          <w:color w:val="70AD47" w:themeColor="accent6"/>
          <w:lang w:eastAsia="ko-KR"/>
        </w:rPr>
        <w:t xml:space="preserve"> to be clarified by RAN2 if </w:t>
      </w:r>
      <w:proofErr w:type="spellStart"/>
      <w:r w:rsidRPr="008155D6">
        <w:rPr>
          <w:color w:val="70AD47" w:themeColor="accent6"/>
          <w:lang w:eastAsia="ko-KR"/>
        </w:rPr>
        <w:t>preallocated</w:t>
      </w:r>
      <w:proofErr w:type="spellEnd"/>
      <w:r w:rsidRPr="008155D6">
        <w:rPr>
          <w:color w:val="70AD47" w:themeColor="accent6"/>
          <w:lang w:eastAsia="ko-KR"/>
        </w:rPr>
        <w:t xml:space="preserve"> uplink grant can be configured without </w:t>
      </w:r>
      <w:proofErr w:type="spellStart"/>
      <w:r w:rsidR="008935AA" w:rsidRPr="008155D6">
        <w:rPr>
          <w:i/>
          <w:iCs/>
          <w:strike/>
          <w:color w:val="70AD47" w:themeColor="accent6"/>
          <w:lang w:eastAsia="zh-CN"/>
        </w:rPr>
        <w:t>ntn</w:t>
      </w:r>
      <w:proofErr w:type="spellEnd"/>
      <w:r w:rsidR="008935AA" w:rsidRPr="008155D6">
        <w:rPr>
          <w:i/>
          <w:iCs/>
          <w:strike/>
          <w:color w:val="70AD47" w:themeColor="accent6"/>
          <w:lang w:eastAsia="zh-CN"/>
        </w:rPr>
        <w:t>-RSRP-</w:t>
      </w:r>
      <w:proofErr w:type="spellStart"/>
      <w:r w:rsidR="008935AA" w:rsidRPr="008155D6">
        <w:rPr>
          <w:i/>
          <w:iCs/>
          <w:strike/>
          <w:color w:val="70AD47" w:themeColor="accent6"/>
          <w:lang w:eastAsia="zh-CN"/>
        </w:rPr>
        <w:t>ThresholdSSB</w:t>
      </w:r>
      <w:proofErr w:type="spellEnd"/>
      <w:r w:rsidR="008935AA" w:rsidRPr="008155D6">
        <w:rPr>
          <w:i/>
          <w:iCs/>
          <w:color w:val="000000" w:themeColor="text1"/>
          <w:lang w:eastAsia="zh-CN"/>
        </w:rPr>
        <w:t xml:space="preserve"> </w:t>
      </w:r>
      <w:proofErr w:type="spellStart"/>
      <w:r w:rsidR="008935AA" w:rsidRPr="008155D6">
        <w:rPr>
          <w:i/>
          <w:iCs/>
          <w:u w:val="single"/>
          <w:lang w:eastAsia="zh-CN"/>
        </w:rPr>
        <w:t>miab</w:t>
      </w:r>
      <w:proofErr w:type="spellEnd"/>
      <w:r w:rsidR="008935AA" w:rsidRPr="008155D6">
        <w:rPr>
          <w:i/>
          <w:iCs/>
          <w:u w:val="single"/>
          <w:lang w:eastAsia="zh-CN"/>
        </w:rPr>
        <w:t>-RSRP-</w:t>
      </w:r>
      <w:proofErr w:type="spellStart"/>
      <w:r w:rsidR="008935AA" w:rsidRPr="008155D6">
        <w:rPr>
          <w:i/>
          <w:iCs/>
          <w:u w:val="single"/>
          <w:lang w:eastAsia="zh-CN"/>
        </w:rPr>
        <w:t>ThresholdSSB</w:t>
      </w:r>
      <w:proofErr w:type="spellEnd"/>
      <w:r w:rsidRPr="008155D6">
        <w:rPr>
          <w:rFonts w:eastAsia="DengXian"/>
          <w:i/>
          <w:color w:val="70AD47" w:themeColor="accent6"/>
          <w:lang w:eastAsia="zh-CN"/>
        </w:rPr>
        <w:t>.</w:t>
      </w:r>
    </w:p>
    <w:p w14:paraId="068E90D2" w14:textId="5837CCF1" w:rsidR="008155D6" w:rsidRDefault="00674B19" w:rsidP="00AF7674">
      <w:pPr>
        <w:rPr>
          <w:b/>
          <w:bCs/>
          <w:color w:val="auto"/>
        </w:rPr>
      </w:pPr>
      <w:r>
        <w:rPr>
          <w:b/>
          <w:bCs/>
          <w:color w:val="auto"/>
        </w:rPr>
        <w:t>Proposal 3: On top of NTN MAC running CR (</w:t>
      </w:r>
      <w:r w:rsidRPr="00B401F8">
        <w:rPr>
          <w:b/>
          <w:bCs/>
          <w:color w:val="auto"/>
        </w:rPr>
        <w:t>R2-230934</w:t>
      </w:r>
      <w:r>
        <w:rPr>
          <w:b/>
          <w:bCs/>
          <w:color w:val="auto"/>
        </w:rPr>
        <w:t>5</w:t>
      </w:r>
      <w:r w:rsidRPr="00B401F8">
        <w:rPr>
          <w:b/>
          <w:bCs/>
          <w:color w:val="auto"/>
        </w:rPr>
        <w:t>)</w:t>
      </w:r>
      <w:r>
        <w:rPr>
          <w:b/>
          <w:bCs/>
          <w:color w:val="auto"/>
        </w:rPr>
        <w:t xml:space="preserve">, the following change in section 5.8.6 and section 5.xx </w:t>
      </w:r>
      <w:r w:rsidR="00FF6AF5">
        <w:rPr>
          <w:b/>
          <w:bCs/>
          <w:color w:val="auto"/>
        </w:rPr>
        <w:t>is</w:t>
      </w:r>
      <w:r>
        <w:rPr>
          <w:b/>
          <w:bCs/>
          <w:color w:val="auto"/>
        </w:rPr>
        <w:t xml:space="preserve"> needed:</w:t>
      </w:r>
      <w:r w:rsidR="00FF6AF5">
        <w:rPr>
          <w:b/>
          <w:bCs/>
          <w:color w:val="auto"/>
        </w:rPr>
        <w:t xml:space="preserve"> </w:t>
      </w:r>
    </w:p>
    <w:p w14:paraId="518072A0" w14:textId="7154876D" w:rsidR="00FF6AF5" w:rsidRPr="00FF6AF5" w:rsidRDefault="00FF6AF5" w:rsidP="00FF6AF5">
      <w:pPr>
        <w:pStyle w:val="ListParagraph"/>
        <w:numPr>
          <w:ilvl w:val="0"/>
          <w:numId w:val="91"/>
        </w:numPr>
        <w:ind w:firstLineChars="0"/>
        <w:rPr>
          <w:b/>
          <w:bCs/>
        </w:rPr>
      </w:pPr>
      <w:r w:rsidRPr="00FF6AF5">
        <w:rPr>
          <w:b/>
          <w:bCs/>
          <w:iCs/>
        </w:rPr>
        <w:t xml:space="preserve">Add mobile IAB UE behavior of handling CG Type 1 in </w:t>
      </w:r>
      <w:proofErr w:type="spellStart"/>
      <w:r w:rsidRPr="00FF6AF5">
        <w:rPr>
          <w:b/>
          <w:bCs/>
          <w:iCs/>
        </w:rPr>
        <w:t>preallocated</w:t>
      </w:r>
      <w:proofErr w:type="spellEnd"/>
      <w:r w:rsidRPr="00FF6AF5">
        <w:rPr>
          <w:b/>
          <w:bCs/>
          <w:iCs/>
        </w:rPr>
        <w:t xml:space="preserve"> uplink grant, where the behavior of NTN UE can be reused with change </w:t>
      </w:r>
      <w:proofErr w:type="spellStart"/>
      <w:r w:rsidRPr="00FF6AF5">
        <w:rPr>
          <w:b/>
          <w:bCs/>
          <w:i/>
          <w:iCs/>
          <w:color w:val="000000" w:themeColor="text1"/>
          <w:lang w:eastAsia="zh-CN"/>
        </w:rPr>
        <w:t>ntn</w:t>
      </w:r>
      <w:proofErr w:type="spellEnd"/>
      <w:r w:rsidRPr="00FF6AF5">
        <w:rPr>
          <w:b/>
          <w:bCs/>
          <w:i/>
          <w:iCs/>
          <w:color w:val="000000" w:themeColor="text1"/>
          <w:lang w:eastAsia="zh-CN"/>
        </w:rPr>
        <w:t>-RSRP-</w:t>
      </w:r>
      <w:proofErr w:type="spellStart"/>
      <w:r w:rsidRPr="00FF6AF5">
        <w:rPr>
          <w:b/>
          <w:bCs/>
          <w:i/>
          <w:iCs/>
          <w:color w:val="000000" w:themeColor="text1"/>
          <w:lang w:eastAsia="zh-CN"/>
        </w:rPr>
        <w:t>ThresholdSSB</w:t>
      </w:r>
      <w:proofErr w:type="spellEnd"/>
      <w:r w:rsidRPr="00FF6AF5">
        <w:rPr>
          <w:b/>
          <w:bCs/>
          <w:i/>
          <w:iCs/>
          <w:color w:val="000000" w:themeColor="text1"/>
          <w:lang w:eastAsia="zh-CN"/>
        </w:rPr>
        <w:t xml:space="preserve"> -&gt; </w:t>
      </w:r>
      <w:proofErr w:type="spellStart"/>
      <w:r w:rsidRPr="00FF6AF5">
        <w:rPr>
          <w:b/>
          <w:bCs/>
          <w:i/>
          <w:iCs/>
          <w:color w:val="000000" w:themeColor="text1"/>
          <w:lang w:eastAsia="zh-CN"/>
        </w:rPr>
        <w:t>miab</w:t>
      </w:r>
      <w:proofErr w:type="spellEnd"/>
      <w:r w:rsidRPr="00FF6AF5">
        <w:rPr>
          <w:b/>
          <w:bCs/>
          <w:i/>
          <w:iCs/>
          <w:color w:val="000000" w:themeColor="text1"/>
          <w:lang w:eastAsia="zh-CN"/>
        </w:rPr>
        <w:t>-RSRP-</w:t>
      </w:r>
      <w:proofErr w:type="spellStart"/>
      <w:r w:rsidRPr="00FF6AF5">
        <w:rPr>
          <w:b/>
          <w:bCs/>
          <w:i/>
          <w:iCs/>
          <w:color w:val="000000" w:themeColor="text1"/>
          <w:lang w:eastAsia="zh-CN"/>
        </w:rPr>
        <w:t>ThresholdSSB</w:t>
      </w:r>
      <w:proofErr w:type="spellEnd"/>
      <w:r w:rsidRPr="00FF6AF5">
        <w:rPr>
          <w:b/>
          <w:bCs/>
          <w:i/>
          <w:iCs/>
          <w:color w:val="000000" w:themeColor="text1"/>
          <w:lang w:eastAsia="zh-CN"/>
        </w:rPr>
        <w:t>.</w:t>
      </w:r>
    </w:p>
    <w:p w14:paraId="56519AAD" w14:textId="410E4625" w:rsidR="00FF6AF5" w:rsidRPr="00C83007" w:rsidRDefault="00FF6AF5" w:rsidP="00FF6AF5">
      <w:pPr>
        <w:pStyle w:val="Heading2"/>
        <w:rPr>
          <w:lang w:val="en-US"/>
        </w:rPr>
      </w:pPr>
      <w:r>
        <w:t xml:space="preserve">2.2 </w:t>
      </w:r>
      <w:r>
        <w:rPr>
          <w:lang w:eastAsia="zh-CN"/>
        </w:rPr>
        <w:t>Remaining issues</w:t>
      </w:r>
      <w:r w:rsidR="00A756A8">
        <w:rPr>
          <w:lang w:eastAsia="zh-CN"/>
        </w:rPr>
        <w:t xml:space="preserve"> on RACH-less HO</w:t>
      </w:r>
    </w:p>
    <w:p w14:paraId="3EEB6D76" w14:textId="0FEC1E07" w:rsidR="00FF6AF5" w:rsidRPr="0076487D" w:rsidRDefault="0076487D" w:rsidP="00FF6AF5">
      <w:r w:rsidRPr="0076487D">
        <w:t>In this section, we address all the FFS(s).</w:t>
      </w:r>
    </w:p>
    <w:p w14:paraId="305D653D" w14:textId="71A4BBD4" w:rsidR="0076487D" w:rsidRPr="009577C7" w:rsidRDefault="009577C7" w:rsidP="00FF6AF5">
      <w:pPr>
        <w:rPr>
          <w:i/>
          <w:iCs/>
          <w:u w:val="single"/>
        </w:rPr>
      </w:pPr>
      <w:r w:rsidRPr="009577C7">
        <w:rPr>
          <w:i/>
          <w:iCs/>
          <w:u w:val="single"/>
        </w:rPr>
        <w:t xml:space="preserve">FFS#1 </w:t>
      </w:r>
      <w:r w:rsidR="008E46AB" w:rsidRPr="008E46AB">
        <w:rPr>
          <w:i/>
          <w:iCs/>
          <w:u w:val="single"/>
        </w:rPr>
        <w:t>Indication of target cell beam in HO command</w:t>
      </w:r>
    </w:p>
    <w:p w14:paraId="08B7F7CC" w14:textId="2C4B4729" w:rsidR="00FF6AF5" w:rsidRPr="004C4C48" w:rsidRDefault="004C4C48" w:rsidP="00FF6AF5">
      <w:r w:rsidRPr="004C4C48">
        <w:t>The background is that RAN2#121b-e identified two options</w:t>
      </w:r>
      <w:r>
        <w:t xml:space="preserve"> [1]</w:t>
      </w:r>
      <w:r w:rsidRPr="004C4C48">
        <w:t xml:space="preserve">: </w:t>
      </w:r>
    </w:p>
    <w:p w14:paraId="48EAD878" w14:textId="77777777" w:rsidR="004C4C48" w:rsidRDefault="004C4C48" w:rsidP="004C4C48">
      <w:pPr>
        <w:pStyle w:val="Agreement"/>
        <w:tabs>
          <w:tab w:val="clear" w:pos="2250"/>
          <w:tab w:val="num" w:pos="1619"/>
        </w:tabs>
        <w:ind w:left="1619"/>
      </w:pPr>
      <w:r>
        <w:t>RAN2 discuss further the following options to support beam operation for the first UL transmission/DL reception towards the target logical DU in RACH-less HO during DU migration:</w:t>
      </w:r>
    </w:p>
    <w:p w14:paraId="747F5260" w14:textId="77777777" w:rsidR="004C4C48" w:rsidRDefault="004C4C48" w:rsidP="004C4C48">
      <w:pPr>
        <w:pStyle w:val="Agreement"/>
        <w:numPr>
          <w:ilvl w:val="0"/>
          <w:numId w:val="0"/>
        </w:numPr>
        <w:ind w:left="1619"/>
      </w:pPr>
      <w:r>
        <w:t xml:space="preserve">Option 1: (Explicit approach) Explicit beam information is included in HO command. FFS the details. </w:t>
      </w:r>
    </w:p>
    <w:p w14:paraId="53882476" w14:textId="77777777" w:rsidR="004C4C48" w:rsidRPr="00DB2763" w:rsidRDefault="004C4C48" w:rsidP="004C4C48">
      <w:pPr>
        <w:pStyle w:val="Agreement"/>
        <w:numPr>
          <w:ilvl w:val="0"/>
          <w:numId w:val="0"/>
        </w:numPr>
        <w:ind w:left="1619"/>
      </w:pPr>
      <w:r>
        <w:t>Option 2: (Implicit approach) UE re-uses the same beam status as in the source cell (the beam information is not carried explicitly in HO command).</w:t>
      </w:r>
    </w:p>
    <w:p w14:paraId="6F486F83" w14:textId="77777777" w:rsidR="004C4C48" w:rsidRDefault="004C4C48" w:rsidP="00FF6AF5">
      <w:pPr>
        <w:rPr>
          <w:b/>
          <w:bCs/>
        </w:rPr>
      </w:pPr>
    </w:p>
    <w:p w14:paraId="5E6AF5C4" w14:textId="77777777" w:rsidR="004C4C48" w:rsidRDefault="004C4C48" w:rsidP="00FF6AF5">
      <w:r w:rsidRPr="004C4C48">
        <w:t xml:space="preserve">Option 1 is </w:t>
      </w:r>
      <w:r>
        <w:t xml:space="preserve">the solution that </w:t>
      </w:r>
      <w:r w:rsidRPr="004C4C48">
        <w:t xml:space="preserve">NTN RACH-less HO </w:t>
      </w:r>
      <w:r>
        <w:t>specified. In our opinion, there is no need to support two different approaches for target cell beam indication. Thus, we propose to confirm no need to support option 2 (implicit approach).</w:t>
      </w:r>
    </w:p>
    <w:p w14:paraId="17C55784" w14:textId="5FD67BD8" w:rsidR="004C4C48" w:rsidRDefault="004C4C48" w:rsidP="004C4C48">
      <w:pPr>
        <w:rPr>
          <w:b/>
          <w:bCs/>
          <w:color w:val="auto"/>
        </w:rPr>
      </w:pPr>
      <w:r>
        <w:rPr>
          <w:b/>
          <w:bCs/>
          <w:color w:val="auto"/>
        </w:rPr>
        <w:t xml:space="preserve">Proposal 4: In mobile IAB RACH-less HO, the target cell beam information is explicitly included in HO command and the correspondingly NTN RACH-less HO configuration can be reused. No need to support implicit approach (i.e. </w:t>
      </w:r>
      <w:r w:rsidRPr="004C4C48">
        <w:rPr>
          <w:b/>
          <w:bCs/>
          <w:color w:val="auto"/>
        </w:rPr>
        <w:t>UE re-uses the same beam status as in the source cell)</w:t>
      </w:r>
      <w:r w:rsidR="00105BE0">
        <w:rPr>
          <w:b/>
          <w:bCs/>
          <w:color w:val="auto"/>
        </w:rPr>
        <w:t>.</w:t>
      </w:r>
      <w:r>
        <w:rPr>
          <w:b/>
          <w:bCs/>
          <w:color w:val="auto"/>
        </w:rPr>
        <w:t xml:space="preserve">  </w:t>
      </w:r>
    </w:p>
    <w:p w14:paraId="14B69514" w14:textId="5228727F" w:rsidR="004C4C48" w:rsidRDefault="00CD08BC" w:rsidP="00FF6AF5">
      <w:pPr>
        <w:rPr>
          <w:i/>
          <w:iCs/>
          <w:u w:val="single"/>
        </w:rPr>
      </w:pPr>
      <w:r w:rsidRPr="009577C7">
        <w:rPr>
          <w:i/>
          <w:iCs/>
          <w:u w:val="single"/>
        </w:rPr>
        <w:t>FFS#</w:t>
      </w:r>
      <w:r>
        <w:rPr>
          <w:i/>
          <w:iCs/>
          <w:u w:val="single"/>
        </w:rPr>
        <w:t>2</w:t>
      </w:r>
      <w:r w:rsidRPr="009577C7">
        <w:rPr>
          <w:i/>
          <w:iCs/>
          <w:u w:val="single"/>
        </w:rPr>
        <w:t xml:space="preserve"> </w:t>
      </w:r>
      <w:r w:rsidR="00B92514" w:rsidRPr="00B92514">
        <w:rPr>
          <w:i/>
          <w:iCs/>
          <w:u w:val="single"/>
        </w:rPr>
        <w:t>handling of supervision timer and when HO is considered successfully complete</w:t>
      </w:r>
    </w:p>
    <w:p w14:paraId="7724C014" w14:textId="4075411F" w:rsidR="00B92514" w:rsidRPr="004C4C48" w:rsidRDefault="00B92514" w:rsidP="00B92514">
      <w:r w:rsidRPr="004C4C48">
        <w:t>The background is that RAN2#12</w:t>
      </w:r>
      <w:r>
        <w:t>2</w:t>
      </w:r>
      <w:r w:rsidRPr="004C4C48">
        <w:t xml:space="preserve"> identified </w:t>
      </w:r>
      <w:r>
        <w:t>below FFS [2]</w:t>
      </w:r>
      <w:r w:rsidRPr="004C4C48">
        <w:t xml:space="preserve">: </w:t>
      </w:r>
    </w:p>
    <w:p w14:paraId="2493314A" w14:textId="77777777" w:rsidR="00343FD5" w:rsidRPr="00521742" w:rsidRDefault="00343FD5" w:rsidP="00343FD5">
      <w:pPr>
        <w:pStyle w:val="Agreement"/>
        <w:tabs>
          <w:tab w:val="clear" w:pos="2250"/>
          <w:tab w:val="num" w:pos="1619"/>
        </w:tabs>
        <w:ind w:left="1619"/>
        <w:rPr>
          <w:lang w:eastAsia="en-US"/>
        </w:rPr>
      </w:pPr>
      <w:r w:rsidRPr="00521742">
        <w:rPr>
          <w:lang w:eastAsia="en-US"/>
        </w:rPr>
        <w:t>for the UL grant and HO completion</w:t>
      </w:r>
      <w:r>
        <w:rPr>
          <w:lang w:eastAsia="en-US"/>
        </w:rPr>
        <w:t xml:space="preserve"> in RACH-less HO</w:t>
      </w:r>
      <w:r w:rsidRPr="00521742">
        <w:rPr>
          <w:lang w:eastAsia="en-US"/>
        </w:rPr>
        <w:t>:</w:t>
      </w:r>
    </w:p>
    <w:p w14:paraId="3DD6B3D5" w14:textId="77777777" w:rsidR="00343FD5" w:rsidRPr="00521742" w:rsidRDefault="00343FD5" w:rsidP="00343FD5">
      <w:pPr>
        <w:pStyle w:val="Agreement"/>
        <w:numPr>
          <w:ilvl w:val="0"/>
          <w:numId w:val="0"/>
        </w:numPr>
        <w:ind w:left="1619"/>
        <w:rPr>
          <w:lang w:eastAsia="en-US"/>
        </w:rPr>
      </w:pPr>
      <w:r w:rsidRPr="00521742">
        <w:rPr>
          <w:lang w:eastAsia="en-US"/>
        </w:rPr>
        <w:t>1. Both type-1 configured grant and dynamic grant are supported</w:t>
      </w:r>
    </w:p>
    <w:p w14:paraId="70BDC4F2" w14:textId="77777777" w:rsidR="00343FD5" w:rsidRDefault="00343FD5" w:rsidP="00217E11">
      <w:pPr>
        <w:pStyle w:val="Agreement"/>
        <w:numPr>
          <w:ilvl w:val="0"/>
          <w:numId w:val="0"/>
        </w:numPr>
        <w:spacing w:after="180"/>
        <w:ind w:left="1619"/>
        <w:rPr>
          <w:rFonts w:eastAsia="Times New Roman"/>
          <w:szCs w:val="20"/>
          <w:lang w:eastAsia="en-US"/>
        </w:rPr>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251E5091" w14:textId="6B547442" w:rsidR="00217E11" w:rsidRPr="004C558A" w:rsidRDefault="004C558A" w:rsidP="00217E11">
      <w:pPr>
        <w:rPr>
          <w:rFonts w:eastAsia="Times New Roman"/>
          <w:lang w:eastAsia="en-US"/>
        </w:rPr>
      </w:pPr>
      <w:r>
        <w:t xml:space="preserve">According to [4][5], </w:t>
      </w:r>
      <w:r w:rsidR="00217E11">
        <w:t xml:space="preserve">we understand that at least legacy LTE RACH-less HO solution is reused for </w:t>
      </w:r>
      <w:r w:rsidR="00217E11">
        <w:rPr>
          <w:rFonts w:eastAsia="Times New Roman"/>
          <w:lang w:eastAsia="en-US"/>
        </w:rPr>
        <w:t>handling of supervision timer and when</w:t>
      </w:r>
      <w:r w:rsidR="00217E11" w:rsidRPr="00521742">
        <w:rPr>
          <w:rFonts w:eastAsia="Times New Roman"/>
          <w:lang w:eastAsia="en-US"/>
        </w:rPr>
        <w:t xml:space="preserve"> HO is </w:t>
      </w:r>
      <w:r w:rsidR="00217E11">
        <w:rPr>
          <w:rFonts w:eastAsia="Times New Roman"/>
          <w:lang w:eastAsia="en-US"/>
        </w:rPr>
        <w:t xml:space="preserve">considered successfully </w:t>
      </w:r>
      <w:r w:rsidR="00217E11" w:rsidRPr="00521742">
        <w:rPr>
          <w:rFonts w:eastAsia="Times New Roman"/>
          <w:lang w:eastAsia="en-US"/>
        </w:rPr>
        <w:t>complete</w:t>
      </w:r>
      <w:r w:rsidR="00217E11">
        <w:rPr>
          <w:rFonts w:eastAsia="Times New Roman"/>
          <w:lang w:eastAsia="en-US"/>
        </w:rPr>
        <w:t>. It is sufficient for RACH-less in mobile IAB.</w:t>
      </w:r>
      <w:r>
        <w:rPr>
          <w:rFonts w:eastAsia="Times New Roman"/>
          <w:lang w:eastAsia="en-US"/>
        </w:rPr>
        <w:t xml:space="preserve"> </w:t>
      </w:r>
      <w:r w:rsidR="00217E11">
        <w:t>Thus, we propose:</w:t>
      </w:r>
    </w:p>
    <w:p w14:paraId="17059349" w14:textId="7F69C9E8" w:rsidR="00217E11" w:rsidRDefault="00217E11" w:rsidP="00217E11">
      <w:pPr>
        <w:rPr>
          <w:b/>
          <w:bCs/>
          <w:color w:val="auto"/>
        </w:rPr>
      </w:pPr>
      <w:r w:rsidRPr="004E3342">
        <w:rPr>
          <w:b/>
          <w:bCs/>
          <w:color w:val="auto"/>
        </w:rPr>
        <w:t xml:space="preserve">Proposal </w:t>
      </w:r>
      <w:r w:rsidR="004C558A">
        <w:rPr>
          <w:b/>
          <w:bCs/>
          <w:color w:val="auto"/>
        </w:rPr>
        <w:t>5</w:t>
      </w:r>
      <w:r w:rsidRPr="004E3342">
        <w:rPr>
          <w:b/>
          <w:bCs/>
          <w:color w:val="auto"/>
        </w:rPr>
        <w:t xml:space="preserve">: </w:t>
      </w:r>
      <w:r>
        <w:rPr>
          <w:b/>
          <w:bCs/>
          <w:color w:val="auto"/>
        </w:rPr>
        <w:t xml:space="preserve">On </w:t>
      </w:r>
      <w:r w:rsidRPr="004E3342">
        <w:rPr>
          <w:b/>
          <w:bCs/>
          <w:color w:val="auto"/>
        </w:rPr>
        <w:t>handling of supervision timer and when HO is considered successfully complete,</w:t>
      </w:r>
      <w:r>
        <w:rPr>
          <w:b/>
          <w:bCs/>
          <w:color w:val="auto"/>
        </w:rPr>
        <w:t xml:space="preserve"> reuse the same solution of </w:t>
      </w:r>
      <w:r w:rsidRPr="004E3342">
        <w:rPr>
          <w:b/>
          <w:bCs/>
          <w:color w:val="auto"/>
        </w:rPr>
        <w:t>RACH-less HO of NTN (i.e. UE Contention Resolution Identity MAC CE is used but UE ignores the content of this field.)</w:t>
      </w:r>
    </w:p>
    <w:p w14:paraId="5ECE6AA3" w14:textId="241D860E" w:rsidR="00C6210F" w:rsidRDefault="00C6210F" w:rsidP="00C6210F">
      <w:pPr>
        <w:pStyle w:val="Heading2"/>
        <w:rPr>
          <w:lang w:eastAsia="zh-CN"/>
        </w:rPr>
      </w:pPr>
      <w:r>
        <w:lastRenderedPageBreak/>
        <w:t xml:space="preserve">2.3 </w:t>
      </w:r>
      <w:r>
        <w:rPr>
          <w:lang w:eastAsia="zh-CN"/>
        </w:rPr>
        <w:t xml:space="preserve">Remaining issues on </w:t>
      </w:r>
      <w:r w:rsidR="009D7080">
        <w:rPr>
          <w:lang w:eastAsia="zh-CN"/>
        </w:rPr>
        <w:t>CHO enhancement</w:t>
      </w:r>
    </w:p>
    <w:p w14:paraId="4E853F9C" w14:textId="07BE921D" w:rsidR="00586E5D" w:rsidRDefault="00586E5D" w:rsidP="00586E5D">
      <w:pPr>
        <w:rPr>
          <w:color w:val="auto"/>
        </w:rPr>
      </w:pPr>
      <w:r>
        <w:rPr>
          <w:color w:val="auto"/>
        </w:rPr>
        <w:t>In RAN2#121b-e [1], CHO enhancement was discussed, and it is FFS whether to support CHO with CondT1 for mobile IAB.</w:t>
      </w:r>
    </w:p>
    <w:p w14:paraId="68E610FF" w14:textId="77777777" w:rsidR="00586E5D" w:rsidRDefault="00000000" w:rsidP="00586E5D">
      <w:pPr>
        <w:pStyle w:val="Doc-title"/>
      </w:pPr>
      <w:hyperlink r:id="rId8" w:tooltip="C:Usersmtk65284Documents3GPPtsg_ranWG2_RL2TSGR2_121bis-eDocsR2-2303852.zip" w:history="1">
        <w:r w:rsidR="00586E5D" w:rsidRPr="00EC2836">
          <w:rPr>
            <w:rStyle w:val="Hyperlink"/>
          </w:rPr>
          <w:t>R2-2303852</w:t>
        </w:r>
      </w:hyperlink>
      <w:r w:rsidR="00586E5D" w:rsidRPr="00EC2836">
        <w:tab/>
        <w:t>On the need for connected mode mobility enhancements for mIAB</w:t>
      </w:r>
      <w:r w:rsidR="00586E5D" w:rsidRPr="00EC2836">
        <w:tab/>
        <w:t>LG Electronics France</w:t>
      </w:r>
      <w:r w:rsidR="00586E5D" w:rsidRPr="00EC2836">
        <w:tab/>
        <w:t>discussion</w:t>
      </w:r>
      <w:r w:rsidR="00586E5D" w:rsidRPr="00EC2836">
        <w:tab/>
        <w:t>NR_mobile_IAB-Core</w:t>
      </w:r>
    </w:p>
    <w:p w14:paraId="5D26F1DC" w14:textId="77777777" w:rsidR="00586E5D" w:rsidRDefault="00586E5D" w:rsidP="00586E5D">
      <w:pPr>
        <w:pStyle w:val="Doc-text2"/>
      </w:pPr>
      <w:r>
        <w:t>P4</w:t>
      </w:r>
    </w:p>
    <w:p w14:paraId="3A195BFD" w14:textId="77777777" w:rsidR="00586E5D" w:rsidRDefault="00586E5D" w:rsidP="00586E5D">
      <w:pPr>
        <w:pStyle w:val="Doc-text2"/>
      </w:pPr>
      <w:r>
        <w:t>-</w:t>
      </w:r>
      <w:r>
        <w:tab/>
        <w:t xml:space="preserve">AT&amp;T think this is aligned with the AT&amp;T problem scenario. </w:t>
      </w:r>
    </w:p>
    <w:p w14:paraId="79EAD54B" w14:textId="77777777" w:rsidR="00586E5D" w:rsidRDefault="00586E5D" w:rsidP="00586E5D">
      <w:pPr>
        <w:pStyle w:val="Doc-text2"/>
      </w:pPr>
      <w:r>
        <w:t>-</w:t>
      </w:r>
      <w:r>
        <w:tab/>
        <w:t xml:space="preserve">CATT think the enhancement </w:t>
      </w:r>
      <w:proofErr w:type="spellStart"/>
      <w:r>
        <w:t>cmp</w:t>
      </w:r>
      <w:proofErr w:type="spellEnd"/>
      <w:r>
        <w:t xml:space="preserve"> to legacy HO is small. .</w:t>
      </w:r>
    </w:p>
    <w:p w14:paraId="41059D06" w14:textId="77777777" w:rsidR="00586E5D" w:rsidRDefault="00586E5D" w:rsidP="00586E5D">
      <w:pPr>
        <w:pStyle w:val="Doc-text2"/>
      </w:pPr>
      <w:r>
        <w:t>-</w:t>
      </w:r>
      <w:r>
        <w:tab/>
        <w:t xml:space="preserve">AT&amp;T think that also the timing is important, and CHO has less dependency to real time restrictions. </w:t>
      </w:r>
    </w:p>
    <w:p w14:paraId="0F65D5E9" w14:textId="77777777" w:rsidR="00586E5D" w:rsidRDefault="00586E5D" w:rsidP="00586E5D">
      <w:pPr>
        <w:pStyle w:val="Doc-text2"/>
      </w:pPr>
      <w:r>
        <w:t>-</w:t>
      </w:r>
      <w:r>
        <w:tab/>
        <w:t xml:space="preserve">Ericsson think that once CHO can be configured then also legacy HO can be done. </w:t>
      </w:r>
    </w:p>
    <w:p w14:paraId="50CC003E" w14:textId="77777777" w:rsidR="00586E5D" w:rsidRDefault="00586E5D" w:rsidP="00586E5D">
      <w:pPr>
        <w:pStyle w:val="Doc-text2"/>
      </w:pPr>
      <w:r>
        <w:t>-</w:t>
      </w:r>
      <w:r>
        <w:tab/>
        <w:t xml:space="preserve">Chair: there is some support and some opposition. </w:t>
      </w:r>
    </w:p>
    <w:p w14:paraId="3D3237FF" w14:textId="77777777" w:rsidR="00586E5D" w:rsidRDefault="00586E5D" w:rsidP="00586E5D">
      <w:pPr>
        <w:pStyle w:val="Doc-text2"/>
      </w:pPr>
      <w:r>
        <w:t>-</w:t>
      </w:r>
      <w:r>
        <w:tab/>
        <w:t xml:space="preserve">Apple wonder if the UE need to support GNSS. LG think T1 is based on absolute time. </w:t>
      </w:r>
    </w:p>
    <w:p w14:paraId="4A9AF393" w14:textId="77777777" w:rsidR="00586E5D" w:rsidRDefault="00586E5D" w:rsidP="00586E5D">
      <w:pPr>
        <w:pStyle w:val="Agreement"/>
        <w:tabs>
          <w:tab w:val="clear" w:pos="2250"/>
          <w:tab w:val="num" w:pos="1619"/>
        </w:tabs>
        <w:ind w:left="1619"/>
      </w:pPr>
      <w:r>
        <w:t xml:space="preserve">FFS: May support CHO with CondT1 if it is “for free”, i.e. if TS impact is just to slightly modify the description to make it also applicable to TN. </w:t>
      </w:r>
    </w:p>
    <w:p w14:paraId="357F2240" w14:textId="77777777" w:rsidR="00586E5D" w:rsidRDefault="00586E5D" w:rsidP="00586E5D">
      <w:pPr>
        <w:rPr>
          <w:b/>
          <w:bCs/>
          <w:color w:val="auto"/>
        </w:rPr>
      </w:pPr>
    </w:p>
    <w:p w14:paraId="6951AE8A" w14:textId="39153F6D" w:rsidR="00586E5D" w:rsidRDefault="00586E5D" w:rsidP="00586E5D">
      <w:pPr>
        <w:rPr>
          <w:color w:val="auto"/>
        </w:rPr>
      </w:pPr>
      <w:r>
        <w:rPr>
          <w:color w:val="auto"/>
        </w:rPr>
        <w:t>Because the FFS requires analysis of the TS impact, we provide a brief overview of existing CondT1. According to TS 38.300 [</w:t>
      </w:r>
      <w:r w:rsidR="000C4876">
        <w:rPr>
          <w:color w:val="auto"/>
        </w:rPr>
        <w:t>6</w:t>
      </w:r>
      <w:r>
        <w:rPr>
          <w:color w:val="auto"/>
        </w:rPr>
        <w:t>], TS 38.331 [</w:t>
      </w:r>
      <w:r w:rsidR="000C4876">
        <w:rPr>
          <w:color w:val="auto"/>
        </w:rPr>
        <w:t>7</w:t>
      </w:r>
      <w:r>
        <w:rPr>
          <w:color w:val="auto"/>
        </w:rPr>
        <w:t>] and TS 38.306 [</w:t>
      </w:r>
      <w:r w:rsidR="000C4876">
        <w:rPr>
          <w:color w:val="auto"/>
        </w:rPr>
        <w:t>8</w:t>
      </w:r>
      <w:r>
        <w:rPr>
          <w:color w:val="auto"/>
        </w:rPr>
        <w:t>], the key points of CondT1 can be summarized below:</w:t>
      </w:r>
    </w:p>
    <w:p w14:paraId="7DA1D44C" w14:textId="499E7E7C" w:rsidR="00586E5D" w:rsidRPr="00070D31" w:rsidRDefault="00586E5D" w:rsidP="00586E5D">
      <w:pPr>
        <w:pStyle w:val="ListParagraph"/>
        <w:numPr>
          <w:ilvl w:val="0"/>
          <w:numId w:val="53"/>
        </w:numPr>
        <w:ind w:firstLineChars="0"/>
      </w:pPr>
      <w:r>
        <w:t>CondT1 is only applicable to NTN, as specified in TS 38.306 [</w:t>
      </w:r>
      <w:r w:rsidR="000C4876">
        <w:t>8</w:t>
      </w:r>
      <w:r>
        <w:t>].</w:t>
      </w:r>
      <w:r w:rsidRPr="00070D31">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6E5D" w:rsidRPr="001925DE" w14:paraId="4F93E4EA" w14:textId="77777777" w:rsidTr="002F607D">
        <w:trPr>
          <w:cantSplit/>
          <w:tblHeader/>
        </w:trPr>
        <w:tc>
          <w:tcPr>
            <w:tcW w:w="6917" w:type="dxa"/>
          </w:tcPr>
          <w:p w14:paraId="445A6497" w14:textId="77777777" w:rsidR="00586E5D" w:rsidRPr="001925DE" w:rsidRDefault="00586E5D" w:rsidP="002F607D">
            <w:pPr>
              <w:pStyle w:val="TAL"/>
              <w:rPr>
                <w:b/>
                <w:bCs/>
                <w:i/>
                <w:iCs/>
              </w:rPr>
            </w:pPr>
            <w:r w:rsidRPr="001925DE">
              <w:rPr>
                <w:b/>
                <w:bCs/>
                <w:i/>
                <w:iCs/>
              </w:rPr>
              <w:t>timeBasedCondHandover-r17</w:t>
            </w:r>
          </w:p>
          <w:p w14:paraId="5AD1CDCB" w14:textId="77777777" w:rsidR="00586E5D" w:rsidRPr="001925DE" w:rsidRDefault="00586E5D" w:rsidP="002F607D">
            <w:pPr>
              <w:pStyle w:val="TAL"/>
              <w:rPr>
                <w:b/>
                <w:bCs/>
                <w:i/>
                <w:iCs/>
              </w:rPr>
            </w:pPr>
            <w:r w:rsidRPr="001925DE">
              <w:t xml:space="preserve">Indicates whether the UE supports time based conditional handover, i.e., </w:t>
            </w:r>
            <w:proofErr w:type="spellStart"/>
            <w:r w:rsidRPr="001925DE">
              <w:rPr>
                <w:i/>
                <w:iCs/>
                <w:lang w:eastAsia="ko-KR"/>
              </w:rPr>
              <w:t>CondEvent</w:t>
            </w:r>
            <w:proofErr w:type="spellEnd"/>
            <w:r w:rsidRPr="001925DE">
              <w:rPr>
                <w:i/>
                <w:iCs/>
                <w:lang w:eastAsia="ko-KR"/>
              </w:rPr>
              <w:t xml:space="preserve"> T1</w:t>
            </w:r>
            <w:r w:rsidRPr="001925DE">
              <w:rPr>
                <w:lang w:eastAsia="ko-KR"/>
              </w:rPr>
              <w:t xml:space="preserve"> as specified in </w:t>
            </w:r>
            <w:r w:rsidRPr="001925DE">
              <w:t xml:space="preserve">TS 38.331 [9]. </w:t>
            </w:r>
            <w:r w:rsidRPr="00A05114">
              <w:rPr>
                <w:highlight w:val="yellow"/>
              </w:rPr>
              <w:t xml:space="preserve">A UE supporting this feature shall also indicate the support of </w:t>
            </w:r>
            <w:r w:rsidRPr="00A05114">
              <w:rPr>
                <w:i/>
                <w:iCs/>
                <w:highlight w:val="yellow"/>
              </w:rPr>
              <w:t>condHandover-r16</w:t>
            </w:r>
            <w:r w:rsidRPr="00A05114">
              <w:rPr>
                <w:highlight w:val="yellow"/>
              </w:rPr>
              <w:t xml:space="preserve"> for NTN bands and the </w:t>
            </w:r>
            <w:r w:rsidRPr="00A05114">
              <w:rPr>
                <w:rFonts w:eastAsia="MS PGothic" w:cs="Arial"/>
                <w:szCs w:val="18"/>
                <w:highlight w:val="yellow"/>
              </w:rPr>
              <w:t xml:space="preserve">support of </w:t>
            </w:r>
            <w:r w:rsidRPr="00A05114">
              <w:rPr>
                <w:rFonts w:eastAsia="MS PGothic" w:cs="Arial"/>
                <w:i/>
                <w:iCs/>
                <w:szCs w:val="18"/>
                <w:highlight w:val="yellow"/>
              </w:rPr>
              <w:t>nonTerrestrialNetwork-r17</w:t>
            </w:r>
            <w:r w:rsidRPr="00A05114">
              <w:rPr>
                <w:rFonts w:eastAsia="MS PGothic" w:cs="Arial"/>
                <w:szCs w:val="18"/>
                <w:highlight w:val="yellow"/>
              </w:rPr>
              <w:t>.</w:t>
            </w:r>
            <w:r w:rsidRPr="001925DE">
              <w:t xml:space="preserve"> </w:t>
            </w:r>
            <w:r w:rsidRPr="001925DE">
              <w:rPr>
                <w:rFonts w:eastAsia="MS PGothic" w:cs="Arial"/>
                <w:szCs w:val="18"/>
              </w:rPr>
              <w:t>UE shall set the capability value consistently for all FDD-FR1 NTN bands.</w:t>
            </w:r>
          </w:p>
        </w:tc>
        <w:tc>
          <w:tcPr>
            <w:tcW w:w="709" w:type="dxa"/>
          </w:tcPr>
          <w:p w14:paraId="3DD0D5E3" w14:textId="77777777" w:rsidR="00586E5D" w:rsidRPr="001925DE" w:rsidRDefault="00586E5D" w:rsidP="002F607D">
            <w:pPr>
              <w:pStyle w:val="TAL"/>
              <w:jc w:val="center"/>
              <w:rPr>
                <w:rFonts w:cs="Arial"/>
                <w:szCs w:val="18"/>
              </w:rPr>
            </w:pPr>
            <w:r w:rsidRPr="001925DE">
              <w:t>Band</w:t>
            </w:r>
          </w:p>
        </w:tc>
        <w:tc>
          <w:tcPr>
            <w:tcW w:w="567" w:type="dxa"/>
          </w:tcPr>
          <w:p w14:paraId="0FAA49F2" w14:textId="77777777" w:rsidR="00586E5D" w:rsidRPr="001925DE" w:rsidRDefault="00586E5D" w:rsidP="002F607D">
            <w:pPr>
              <w:pStyle w:val="TAL"/>
              <w:jc w:val="center"/>
              <w:rPr>
                <w:rFonts w:cs="Arial"/>
                <w:bCs/>
                <w:iCs/>
                <w:szCs w:val="18"/>
              </w:rPr>
            </w:pPr>
            <w:r w:rsidRPr="001925DE">
              <w:rPr>
                <w:rFonts w:cs="Arial"/>
                <w:bCs/>
                <w:iCs/>
                <w:szCs w:val="18"/>
              </w:rPr>
              <w:t>No</w:t>
            </w:r>
          </w:p>
        </w:tc>
        <w:tc>
          <w:tcPr>
            <w:tcW w:w="709" w:type="dxa"/>
          </w:tcPr>
          <w:p w14:paraId="12E392A6" w14:textId="77777777" w:rsidR="00586E5D" w:rsidRPr="001925DE" w:rsidRDefault="00586E5D" w:rsidP="002F607D">
            <w:pPr>
              <w:pStyle w:val="TAL"/>
              <w:jc w:val="center"/>
              <w:rPr>
                <w:bCs/>
                <w:iCs/>
              </w:rPr>
            </w:pPr>
            <w:r w:rsidRPr="001925DE">
              <w:rPr>
                <w:bCs/>
                <w:iCs/>
              </w:rPr>
              <w:t>N/A</w:t>
            </w:r>
          </w:p>
        </w:tc>
        <w:tc>
          <w:tcPr>
            <w:tcW w:w="728" w:type="dxa"/>
          </w:tcPr>
          <w:p w14:paraId="3F7D9397" w14:textId="77777777" w:rsidR="00586E5D" w:rsidRPr="001925DE" w:rsidRDefault="00586E5D" w:rsidP="002F607D">
            <w:pPr>
              <w:pStyle w:val="TAL"/>
              <w:jc w:val="center"/>
              <w:rPr>
                <w:bCs/>
                <w:iCs/>
              </w:rPr>
            </w:pPr>
            <w:r w:rsidRPr="001925DE">
              <w:rPr>
                <w:rFonts w:cs="Arial"/>
                <w:bCs/>
                <w:iCs/>
                <w:szCs w:val="18"/>
              </w:rPr>
              <w:t>N/A</w:t>
            </w:r>
          </w:p>
        </w:tc>
      </w:tr>
    </w:tbl>
    <w:p w14:paraId="77C1D5C6" w14:textId="6C6B4318" w:rsidR="00586E5D" w:rsidRDefault="00586E5D" w:rsidP="00586E5D">
      <w:pPr>
        <w:pStyle w:val="ListParagraph"/>
        <w:numPr>
          <w:ilvl w:val="0"/>
          <w:numId w:val="56"/>
        </w:numPr>
        <w:spacing w:before="180"/>
        <w:ind w:firstLineChars="0"/>
      </w:pPr>
      <w:r>
        <w:t>CondT1 is based on absolute UTC time (i.e. Threshold of T1 is UTC time) as specified in TS 38.331 [</w:t>
      </w:r>
      <w:r w:rsidR="00B65FBB">
        <w:t>7</w:t>
      </w:r>
      <w:r>
        <w:t>].</w:t>
      </w:r>
      <w:r w:rsidRPr="00070D31">
        <w:t xml:space="preserve"> </w:t>
      </w:r>
    </w:p>
    <w:p w14:paraId="6232F4EE" w14:textId="77777777" w:rsidR="00586E5D" w:rsidRPr="00070D31" w:rsidRDefault="00586E5D" w:rsidP="00586E5D">
      <w:pPr>
        <w:pStyle w:val="ListParagraph"/>
        <w:numPr>
          <w:ilvl w:val="1"/>
          <w:numId w:val="56"/>
        </w:numPr>
        <w:ind w:firstLineChars="0"/>
      </w:pPr>
      <w:r>
        <w:t xml:space="preserve">The absolute UTC time (rather than relative timer) is used because it is not easy for </w:t>
      </w:r>
      <w:proofErr w:type="spellStart"/>
      <w:r>
        <w:t>gNB</w:t>
      </w:r>
      <w:proofErr w:type="spellEnd"/>
      <w:r>
        <w:t xml:space="preserve"> to pre-calculate RTT time of NTN. And NTN UE is always equipped with GNSS.  </w:t>
      </w:r>
      <w:r w:rsidRPr="00070D31">
        <w:t xml:space="preserve"> </w:t>
      </w:r>
    </w:p>
    <w:p w14:paraId="57EB2CCB" w14:textId="77777777" w:rsidR="00586E5D" w:rsidRDefault="00586E5D" w:rsidP="00586E5D">
      <w:pPr>
        <w:pStyle w:val="PL"/>
        <w:shd w:val="clear" w:color="auto" w:fill="D9D9D9" w:themeFill="background1" w:themeFillShade="D9"/>
        <w:rPr>
          <w:lang w:val="en-CN" w:eastAsia="zh-CN"/>
        </w:rPr>
      </w:pPr>
      <w:r>
        <w:t xml:space="preserve">        condEventT1-r17                  </w:t>
      </w:r>
      <w:r>
        <w:rPr>
          <w:color w:val="993366"/>
        </w:rPr>
        <w:t>SEQUENCE</w:t>
      </w:r>
      <w:r>
        <w:t xml:space="preserve"> {</w:t>
      </w:r>
    </w:p>
    <w:p w14:paraId="74225BE2" w14:textId="77777777" w:rsidR="00586E5D" w:rsidRDefault="00586E5D" w:rsidP="00586E5D">
      <w:pPr>
        <w:pStyle w:val="PL"/>
        <w:shd w:val="clear" w:color="auto" w:fill="D9D9D9" w:themeFill="background1" w:themeFillShade="D9"/>
      </w:pPr>
      <w:r>
        <w:t xml:space="preserve">            t1-Threshold-r17                 </w:t>
      </w:r>
      <w:r>
        <w:rPr>
          <w:color w:val="993366"/>
        </w:rPr>
        <w:t>INTEGER</w:t>
      </w:r>
      <w:r>
        <w:t xml:space="preserve"> (0..549755813887),</w:t>
      </w:r>
    </w:p>
    <w:p w14:paraId="652BDBC5" w14:textId="77777777" w:rsidR="00586E5D" w:rsidRDefault="00586E5D" w:rsidP="00586E5D">
      <w:pPr>
        <w:pStyle w:val="PL"/>
        <w:shd w:val="clear" w:color="auto" w:fill="D9D9D9" w:themeFill="background1" w:themeFillShade="D9"/>
      </w:pPr>
      <w:r>
        <w:t xml:space="preserve">            duration-r17                     </w:t>
      </w:r>
      <w:r>
        <w:rPr>
          <w:color w:val="993366"/>
        </w:rPr>
        <w:t>INTEGER</w:t>
      </w:r>
      <w:r>
        <w:t xml:space="preserve"> (1..6000)</w:t>
      </w:r>
    </w:p>
    <w:p w14:paraId="5E9AF958" w14:textId="77777777" w:rsidR="00586E5D" w:rsidRDefault="00586E5D" w:rsidP="00586E5D">
      <w:pPr>
        <w:pStyle w:val="PL"/>
        <w:shd w:val="clear" w:color="auto" w:fill="D9D9D9" w:themeFill="background1" w:themeFillShade="D9"/>
      </w:pPr>
      <w:r>
        <w:t xml:space="preserve">        }</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86E5D" w14:paraId="7AB2E14F" w14:textId="77777777" w:rsidTr="002F607D">
        <w:trPr>
          <w:trHeight w:val="462"/>
        </w:trPr>
        <w:tc>
          <w:tcPr>
            <w:tcW w:w="10031" w:type="dxa"/>
            <w:tcBorders>
              <w:top w:val="single" w:sz="4" w:space="0" w:color="auto"/>
              <w:left w:val="single" w:sz="4" w:space="0" w:color="auto"/>
              <w:bottom w:val="single" w:sz="4" w:space="0" w:color="auto"/>
              <w:right w:val="single" w:sz="4" w:space="0" w:color="auto"/>
            </w:tcBorders>
            <w:hideMark/>
          </w:tcPr>
          <w:p w14:paraId="7A5C8A91" w14:textId="77777777" w:rsidR="00586E5D" w:rsidRDefault="00586E5D" w:rsidP="002F607D">
            <w:pPr>
              <w:pStyle w:val="TAL"/>
              <w:rPr>
                <w:b/>
                <w:bCs/>
                <w:i/>
                <w:iCs/>
                <w:color w:val="auto"/>
                <w:lang w:val="en-CN" w:eastAsia="zh-CN"/>
              </w:rPr>
            </w:pPr>
            <w:r>
              <w:rPr>
                <w:b/>
                <w:bCs/>
                <w:i/>
                <w:iCs/>
              </w:rPr>
              <w:t>duration</w:t>
            </w:r>
          </w:p>
          <w:p w14:paraId="4B3CE891" w14:textId="77777777" w:rsidR="00586E5D" w:rsidRDefault="00586E5D" w:rsidP="002F607D">
            <w:pPr>
              <w:pStyle w:val="TAL"/>
            </w:pPr>
            <w:r>
              <w:t xml:space="preserve">This field is used for defining the leaving condition T1-2 for conditional HO event </w:t>
            </w:r>
            <w:r>
              <w:rPr>
                <w:i/>
                <w:iCs/>
              </w:rPr>
              <w:t>condEventT1</w:t>
            </w:r>
            <w:r>
              <w:t>. Each step represents 100ms.</w:t>
            </w:r>
          </w:p>
        </w:tc>
      </w:tr>
      <w:tr w:rsidR="00586E5D" w14:paraId="3BD2B728" w14:textId="77777777" w:rsidTr="002F607D">
        <w:trPr>
          <w:trHeight w:val="680"/>
        </w:trPr>
        <w:tc>
          <w:tcPr>
            <w:tcW w:w="10031" w:type="dxa"/>
            <w:tcBorders>
              <w:top w:val="single" w:sz="4" w:space="0" w:color="auto"/>
              <w:left w:val="single" w:sz="4" w:space="0" w:color="auto"/>
              <w:bottom w:val="single" w:sz="4" w:space="0" w:color="auto"/>
              <w:right w:val="single" w:sz="4" w:space="0" w:color="auto"/>
            </w:tcBorders>
            <w:hideMark/>
          </w:tcPr>
          <w:p w14:paraId="3B7A7D59" w14:textId="77777777" w:rsidR="00586E5D" w:rsidRDefault="00586E5D" w:rsidP="002F607D">
            <w:pPr>
              <w:pStyle w:val="TAL"/>
              <w:rPr>
                <w:b/>
                <w:bCs/>
                <w:i/>
                <w:iCs/>
              </w:rPr>
            </w:pPr>
            <w:r>
              <w:rPr>
                <w:b/>
                <w:bCs/>
                <w:i/>
                <w:iCs/>
              </w:rPr>
              <w:t>t1-Threshold</w:t>
            </w:r>
          </w:p>
          <w:p w14:paraId="65279D84" w14:textId="77777777" w:rsidR="00586E5D" w:rsidRDefault="00586E5D" w:rsidP="002F607D">
            <w:pPr>
              <w:pStyle w:val="TAL"/>
              <w:rPr>
                <w:b/>
                <w:bCs/>
                <w:i/>
                <w:iCs/>
              </w:rPr>
            </w:pPr>
            <w:r w:rsidRPr="00B01726">
              <w:rPr>
                <w:highlight w:val="yellow"/>
              </w:rPr>
              <w:t xml:space="preserve">The field counts the number of UTC seconds in 10 </w:t>
            </w:r>
            <w:proofErr w:type="spellStart"/>
            <w:r w:rsidRPr="00B01726">
              <w:rPr>
                <w:highlight w:val="yellow"/>
              </w:rPr>
              <w:t>ms</w:t>
            </w:r>
            <w:proofErr w:type="spellEnd"/>
            <w:r w:rsidRPr="00B01726">
              <w:rPr>
                <w:highlight w:val="yellow"/>
              </w:rPr>
              <w:t xml:space="preserve"> units</w:t>
            </w:r>
            <w:r>
              <w:t xml:space="preserve"> since 00:00:00 on Gregorian calendar date 1 January, 1900 (midnight between Sunday, December 31, 1899 and Monday, January 1, 1900).</w:t>
            </w:r>
          </w:p>
        </w:tc>
      </w:tr>
    </w:tbl>
    <w:p w14:paraId="1DC94A15" w14:textId="77777777" w:rsidR="00586E5D" w:rsidRDefault="00586E5D" w:rsidP="00586E5D">
      <w:pPr>
        <w:pStyle w:val="ListParagraph"/>
        <w:numPr>
          <w:ilvl w:val="0"/>
          <w:numId w:val="56"/>
        </w:numPr>
        <w:spacing w:before="180"/>
        <w:ind w:firstLineChars="0"/>
      </w:pPr>
      <w:r>
        <w:t xml:space="preserve">CondT1 is always configured together with one of the measurement-based trigger conditions Ax (i.e. CHO events A3/A4/A5). Only when both CondT1 and </w:t>
      </w:r>
      <w:proofErr w:type="spellStart"/>
      <w:r>
        <w:t>CondAx</w:t>
      </w:r>
      <w:proofErr w:type="spellEnd"/>
      <w:r>
        <w:t xml:space="preserve"> </w:t>
      </w:r>
      <w:r w:rsidRPr="00B01726">
        <w:t>are fulfilled at the same time, UE will consider the target candidate cell as a triggered cell</w:t>
      </w:r>
      <w:r>
        <w:t xml:space="preserve"> (i.e. AND between CondT1 and Cond Ax).</w:t>
      </w:r>
    </w:p>
    <w:p w14:paraId="4E2BC538" w14:textId="77777777" w:rsidR="00586E5D" w:rsidRPr="00B01726" w:rsidRDefault="00586E5D" w:rsidP="00586E5D">
      <w:pPr>
        <w:pStyle w:val="ListParagraph"/>
        <w:numPr>
          <w:ilvl w:val="1"/>
          <w:numId w:val="56"/>
        </w:numPr>
        <w:ind w:firstLineChars="0"/>
      </w:pPr>
      <w:r>
        <w:t xml:space="preserve">AND (rather than OR) is specified because the time in CondT1 is to indicate </w:t>
      </w:r>
      <w:r>
        <w:rPr>
          <w:lang w:eastAsia="zh-CN"/>
        </w:rPr>
        <w:t>the arriving time of the target cell due to fixed satellite moving pattern</w:t>
      </w:r>
      <w:r>
        <w:t xml:space="preserve">. Thus, the UE is allowed to execute HO only when both conditions are fulfilled.   </w:t>
      </w:r>
      <w:r w:rsidRPr="00070D31">
        <w:t xml:space="preserve"> </w:t>
      </w:r>
    </w:p>
    <w:p w14:paraId="0039DB07" w14:textId="77777777" w:rsidR="00586E5D" w:rsidRDefault="00586E5D" w:rsidP="00586E5D">
      <w:pPr>
        <w:pStyle w:val="B1"/>
        <w:pBdr>
          <w:top w:val="single" w:sz="4" w:space="1" w:color="auto"/>
          <w:left w:val="single" w:sz="4" w:space="1" w:color="auto"/>
          <w:bottom w:val="single" w:sz="4" w:space="1" w:color="auto"/>
          <w:right w:val="single" w:sz="4" w:space="1" w:color="auto"/>
        </w:pBdr>
        <w:spacing w:after="60"/>
        <w:ind w:left="0" w:firstLine="0"/>
        <w:rPr>
          <w:b/>
          <w:bCs/>
          <w:sz w:val="24"/>
          <w:szCs w:val="24"/>
          <w:u w:val="single"/>
        </w:rPr>
      </w:pPr>
      <w:r w:rsidRPr="00DF2020">
        <w:rPr>
          <w:b/>
          <w:bCs/>
          <w:sz w:val="24"/>
          <w:szCs w:val="24"/>
          <w:u w:val="single"/>
        </w:rPr>
        <w:t xml:space="preserve">From Clause </w:t>
      </w:r>
      <w:r>
        <w:rPr>
          <w:b/>
          <w:bCs/>
          <w:sz w:val="24"/>
          <w:szCs w:val="24"/>
          <w:u w:val="single"/>
        </w:rPr>
        <w:t>5.3.5.13.4</w:t>
      </w:r>
      <w:r w:rsidRPr="00DF2020">
        <w:rPr>
          <w:b/>
          <w:bCs/>
          <w:sz w:val="24"/>
          <w:szCs w:val="24"/>
          <w:u w:val="single"/>
        </w:rPr>
        <w:t xml:space="preserve"> of TS 3</w:t>
      </w:r>
      <w:r>
        <w:rPr>
          <w:b/>
          <w:bCs/>
          <w:sz w:val="24"/>
          <w:szCs w:val="24"/>
          <w:u w:val="single"/>
        </w:rPr>
        <w:t>8.331:</w:t>
      </w:r>
    </w:p>
    <w:p w14:paraId="46943B50" w14:textId="77777777" w:rsidR="00586E5D" w:rsidRDefault="00586E5D" w:rsidP="00586E5D">
      <w:pPr>
        <w:pBdr>
          <w:top w:val="single" w:sz="4" w:space="1" w:color="auto"/>
          <w:left w:val="single" w:sz="4" w:space="1" w:color="auto"/>
          <w:bottom w:val="single" w:sz="4" w:space="1" w:color="auto"/>
          <w:right w:val="single" w:sz="4" w:space="1" w:color="auto"/>
        </w:pBdr>
      </w:pPr>
      <w:r>
        <w:t>....</w:t>
      </w:r>
    </w:p>
    <w:p w14:paraId="3FB44681" w14:textId="77777777" w:rsidR="00586E5D" w:rsidRDefault="00586E5D" w:rsidP="00586E5D">
      <w:pPr>
        <w:pStyle w:val="B2"/>
        <w:pBdr>
          <w:top w:val="single" w:sz="4" w:space="1" w:color="auto"/>
          <w:left w:val="single" w:sz="4" w:space="1" w:color="auto"/>
          <w:bottom w:val="single" w:sz="4" w:space="1" w:color="auto"/>
          <w:right w:val="single" w:sz="4" w:space="1" w:color="auto"/>
        </w:pBdr>
        <w:ind w:left="0" w:firstLine="0"/>
        <w:rPr>
          <w:color w:val="auto"/>
          <w:lang w:val="en-CN" w:eastAsia="zh-CN"/>
        </w:rPr>
      </w:pPr>
      <w:r>
        <w:t xml:space="preserve">2&gt; </w:t>
      </w:r>
      <w:r w:rsidRPr="007E055D">
        <w:rPr>
          <w:highlight w:val="yellow"/>
        </w:rPr>
        <w:t xml:space="preserve">if event(s) associated to </w:t>
      </w:r>
      <w:r w:rsidRPr="007E055D">
        <w:rPr>
          <w:b/>
          <w:bCs/>
          <w:highlight w:val="yellow"/>
        </w:rPr>
        <w:t xml:space="preserve">all </w:t>
      </w:r>
      <w:proofErr w:type="spellStart"/>
      <w:r w:rsidRPr="007E055D">
        <w:rPr>
          <w:b/>
          <w:bCs/>
          <w:i/>
          <w:iCs/>
          <w:highlight w:val="yellow"/>
        </w:rPr>
        <w:t>measId</w:t>
      </w:r>
      <w:proofErr w:type="spellEnd"/>
      <w:r w:rsidRPr="007E055D">
        <w:rPr>
          <w:b/>
          <w:bCs/>
          <w:highlight w:val="yellow"/>
        </w:rPr>
        <w:t>(s)</w:t>
      </w:r>
      <w:r w:rsidRPr="007E055D">
        <w:rPr>
          <w:highlight w:val="yellow"/>
        </w:rPr>
        <w:t xml:space="preserve"> within </w:t>
      </w:r>
      <w:proofErr w:type="spellStart"/>
      <w:r w:rsidRPr="007E055D">
        <w:rPr>
          <w:i/>
          <w:iCs/>
          <w:highlight w:val="yellow"/>
        </w:rPr>
        <w:t>condTriggerConfig</w:t>
      </w:r>
      <w:proofErr w:type="spellEnd"/>
      <w:r w:rsidRPr="007E055D">
        <w:rPr>
          <w:highlight w:val="yellow"/>
        </w:rPr>
        <w:t xml:space="preserve"> for a target candidate cell within the stored </w:t>
      </w:r>
      <w:proofErr w:type="spellStart"/>
      <w:r w:rsidRPr="007E055D">
        <w:rPr>
          <w:i/>
          <w:iCs/>
          <w:highlight w:val="yellow"/>
        </w:rPr>
        <w:t>condRRCReconfig</w:t>
      </w:r>
      <w:proofErr w:type="spellEnd"/>
      <w:r w:rsidRPr="007E055D">
        <w:rPr>
          <w:highlight w:val="yellow"/>
        </w:rPr>
        <w:t xml:space="preserve"> are fulfilled</w:t>
      </w:r>
      <w:r>
        <w:t>:</w:t>
      </w:r>
    </w:p>
    <w:p w14:paraId="02018DF2" w14:textId="77777777" w:rsidR="00586E5D" w:rsidRDefault="00586E5D" w:rsidP="00586E5D">
      <w:pPr>
        <w:pStyle w:val="B3"/>
        <w:pBdr>
          <w:top w:val="single" w:sz="4" w:space="1" w:color="auto"/>
          <w:left w:val="single" w:sz="4" w:space="1" w:color="auto"/>
          <w:bottom w:val="single" w:sz="4" w:space="1" w:color="auto"/>
          <w:right w:val="single" w:sz="4" w:space="1" w:color="auto"/>
        </w:pBdr>
        <w:ind w:left="0" w:firstLine="0"/>
      </w:pPr>
      <w:r>
        <w:t xml:space="preserve">  3&gt; consider the target candidate cell within the stored </w:t>
      </w:r>
      <w:proofErr w:type="spellStart"/>
      <w:r>
        <w:rPr>
          <w:i/>
          <w:iCs/>
        </w:rPr>
        <w:t>condRRCReconfig</w:t>
      </w:r>
      <w:proofErr w:type="spellEnd"/>
      <w:r>
        <w:t xml:space="preserve">, associated to that </w:t>
      </w:r>
      <w:proofErr w:type="spellStart"/>
      <w:r>
        <w:rPr>
          <w:i/>
          <w:iCs/>
        </w:rPr>
        <w:t>condReconfigId</w:t>
      </w:r>
      <w:proofErr w:type="spellEnd"/>
      <w:r>
        <w:t>, as a triggered cell;</w:t>
      </w:r>
    </w:p>
    <w:p w14:paraId="10AF308B" w14:textId="77777777" w:rsidR="00586E5D" w:rsidRDefault="00586E5D" w:rsidP="00586E5D">
      <w:pPr>
        <w:pStyle w:val="B3"/>
        <w:pBdr>
          <w:top w:val="single" w:sz="4" w:space="1" w:color="auto"/>
          <w:left w:val="single" w:sz="4" w:space="1" w:color="auto"/>
          <w:bottom w:val="single" w:sz="4" w:space="1" w:color="auto"/>
          <w:right w:val="single" w:sz="4" w:space="1" w:color="auto"/>
        </w:pBdr>
        <w:ind w:left="0" w:firstLine="0"/>
        <w:rPr>
          <w:rFonts w:eastAsia="Times New Roman"/>
        </w:rPr>
      </w:pPr>
      <w:r>
        <w:t xml:space="preserve">  3&gt; initiate the conditional reconfiguration execution, as specified in 5.3.5.13.5;</w:t>
      </w:r>
    </w:p>
    <w:p w14:paraId="2BE5FDBF" w14:textId="3E3C75DC" w:rsidR="00586E5D" w:rsidRPr="007E055D" w:rsidRDefault="00586E5D" w:rsidP="00586E5D">
      <w:pPr>
        <w:spacing w:after="120"/>
        <w:rPr>
          <w:b/>
          <w:bCs/>
          <w:color w:val="auto"/>
        </w:rPr>
      </w:pPr>
      <w:r w:rsidRPr="007E055D">
        <w:rPr>
          <w:b/>
          <w:bCs/>
        </w:rPr>
        <w:lastRenderedPageBreak/>
        <w:t xml:space="preserve">Observation </w:t>
      </w:r>
      <w:r w:rsidR="00EB3252">
        <w:rPr>
          <w:b/>
          <w:bCs/>
        </w:rPr>
        <w:t>1</w:t>
      </w:r>
      <w:r w:rsidRPr="007E055D">
        <w:rPr>
          <w:b/>
          <w:bCs/>
        </w:rPr>
        <w:t xml:space="preserve">: </w:t>
      </w:r>
      <w:r w:rsidRPr="007E055D">
        <w:rPr>
          <w:b/>
          <w:bCs/>
          <w:color w:val="auto"/>
        </w:rPr>
        <w:t>The key points of existing CondT1 can be summarized below:</w:t>
      </w:r>
    </w:p>
    <w:p w14:paraId="31444A2D" w14:textId="77777777" w:rsidR="00586E5D" w:rsidRPr="007E055D" w:rsidRDefault="00586E5D" w:rsidP="00586E5D">
      <w:pPr>
        <w:pStyle w:val="ListParagraph"/>
        <w:numPr>
          <w:ilvl w:val="0"/>
          <w:numId w:val="63"/>
        </w:numPr>
        <w:spacing w:after="120"/>
        <w:ind w:firstLineChars="0"/>
        <w:rPr>
          <w:b/>
          <w:bCs/>
        </w:rPr>
      </w:pPr>
      <w:r w:rsidRPr="007E055D">
        <w:rPr>
          <w:b/>
          <w:bCs/>
        </w:rPr>
        <w:t>CondT1 is only applicable to NTN</w:t>
      </w:r>
    </w:p>
    <w:p w14:paraId="23DE6642" w14:textId="77777777" w:rsidR="00586E5D" w:rsidRPr="007E055D" w:rsidRDefault="00586E5D" w:rsidP="00586E5D">
      <w:pPr>
        <w:pStyle w:val="ListParagraph"/>
        <w:numPr>
          <w:ilvl w:val="0"/>
          <w:numId w:val="63"/>
        </w:numPr>
        <w:spacing w:after="120"/>
        <w:ind w:firstLineChars="0"/>
        <w:rPr>
          <w:b/>
          <w:bCs/>
        </w:rPr>
      </w:pPr>
      <w:r w:rsidRPr="007E055D">
        <w:rPr>
          <w:b/>
          <w:bCs/>
        </w:rPr>
        <w:t>CondT1 is based on absolute UTC time (i.e. Threshold of T1 is UTC time)</w:t>
      </w:r>
    </w:p>
    <w:p w14:paraId="2605B783" w14:textId="77777777" w:rsidR="00586E5D" w:rsidRPr="007E055D" w:rsidRDefault="00586E5D" w:rsidP="00586E5D">
      <w:pPr>
        <w:pStyle w:val="ListParagraph"/>
        <w:numPr>
          <w:ilvl w:val="0"/>
          <w:numId w:val="63"/>
        </w:numPr>
        <w:ind w:firstLineChars="0"/>
        <w:rPr>
          <w:b/>
          <w:bCs/>
        </w:rPr>
      </w:pPr>
      <w:r w:rsidRPr="007E055D">
        <w:rPr>
          <w:b/>
          <w:bCs/>
        </w:rPr>
        <w:t xml:space="preserve">CondT1 is always configured together with one of the measurement-based trigger conditions (i.e. CHO </w:t>
      </w:r>
      <w:r>
        <w:rPr>
          <w:b/>
          <w:bCs/>
        </w:rPr>
        <w:t xml:space="preserve">Ax </w:t>
      </w:r>
      <w:r w:rsidRPr="007E055D">
        <w:rPr>
          <w:b/>
          <w:bCs/>
        </w:rPr>
        <w:t xml:space="preserve">events A3/A4/A5). Only when both CondT1 and </w:t>
      </w:r>
      <w:proofErr w:type="spellStart"/>
      <w:r w:rsidRPr="007E055D">
        <w:rPr>
          <w:b/>
          <w:bCs/>
        </w:rPr>
        <w:t>CondAx</w:t>
      </w:r>
      <w:proofErr w:type="spellEnd"/>
      <w:r w:rsidRPr="007E055D">
        <w:rPr>
          <w:b/>
          <w:bCs/>
        </w:rPr>
        <w:t xml:space="preserve"> are fulfilled at the same time, UE will consider the target candidate cell as a triggered cell (i.e. AND between CondT1 and Cond Ax).</w:t>
      </w:r>
    </w:p>
    <w:p w14:paraId="445DE5A5" w14:textId="77777777" w:rsidR="00586E5D" w:rsidRDefault="00586E5D" w:rsidP="00586E5D">
      <w:pPr>
        <w:rPr>
          <w:color w:val="auto"/>
        </w:rPr>
      </w:pPr>
      <w:r>
        <w:rPr>
          <w:color w:val="auto"/>
        </w:rPr>
        <w:t>Thus, if CondT1 is supported in TN, we think these 3 aspects all need specification changes. Specifically, the changes should include:</w:t>
      </w:r>
    </w:p>
    <w:p w14:paraId="613FC89A" w14:textId="77777777" w:rsidR="00586E5D" w:rsidRDefault="00586E5D" w:rsidP="00586E5D">
      <w:pPr>
        <w:pStyle w:val="ListParagraph"/>
        <w:numPr>
          <w:ilvl w:val="0"/>
          <w:numId w:val="65"/>
        </w:numPr>
        <w:ind w:firstLineChars="0"/>
      </w:pPr>
      <w:r>
        <w:t>Specification change in TS 38.306 to allow non-NTN UE to apply CondT1.</w:t>
      </w:r>
    </w:p>
    <w:p w14:paraId="66FF97BB" w14:textId="77777777" w:rsidR="00586E5D" w:rsidRDefault="00586E5D" w:rsidP="00586E5D">
      <w:pPr>
        <w:pStyle w:val="ListParagraph"/>
        <w:numPr>
          <w:ilvl w:val="0"/>
          <w:numId w:val="65"/>
        </w:numPr>
        <w:ind w:firstLineChars="0"/>
      </w:pPr>
      <w:r>
        <w:t>Specification change in TS 38.331 to allow non-NTN UE without equipping GNSS to apply CondT1.</w:t>
      </w:r>
    </w:p>
    <w:p w14:paraId="766CCE53" w14:textId="77777777" w:rsidR="00586E5D" w:rsidRDefault="00586E5D" w:rsidP="00586E5D">
      <w:pPr>
        <w:pStyle w:val="ListParagraph"/>
        <w:numPr>
          <w:ilvl w:val="1"/>
          <w:numId w:val="65"/>
        </w:numPr>
        <w:ind w:firstLineChars="0"/>
      </w:pPr>
      <w:r>
        <w:t xml:space="preserve">For example, CondT1 can be revised to use time of source DU for non-NTN UEs. </w:t>
      </w:r>
    </w:p>
    <w:p w14:paraId="47344DD9" w14:textId="77777777" w:rsidR="00586E5D" w:rsidRPr="00070D31" w:rsidRDefault="00586E5D" w:rsidP="00586E5D">
      <w:pPr>
        <w:pStyle w:val="ListParagraph"/>
        <w:numPr>
          <w:ilvl w:val="1"/>
          <w:numId w:val="65"/>
        </w:numPr>
        <w:ind w:firstLineChars="0"/>
      </w:pPr>
      <w:r>
        <w:t xml:space="preserve">As another example, add procedure text that after configured with CondT1, non-NTN UEs need to obtain SIB9 to acquire UTC time.   </w:t>
      </w:r>
      <w:r w:rsidRPr="00070D31">
        <w:t xml:space="preserve">  </w:t>
      </w:r>
    </w:p>
    <w:p w14:paraId="3C9B55E0" w14:textId="77777777" w:rsidR="00586E5D" w:rsidRDefault="00586E5D" w:rsidP="00586E5D">
      <w:pPr>
        <w:pStyle w:val="ListParagraph"/>
        <w:numPr>
          <w:ilvl w:val="0"/>
          <w:numId w:val="65"/>
        </w:numPr>
        <w:ind w:firstLineChars="0"/>
      </w:pPr>
      <w:r>
        <w:t xml:space="preserve">Specification change in TS 38.331 to use "OR" (rather than "AND") between CondT1 and </w:t>
      </w:r>
      <w:proofErr w:type="spellStart"/>
      <w:r>
        <w:t>CondAx</w:t>
      </w:r>
      <w:proofErr w:type="spellEnd"/>
      <w:r>
        <w:t xml:space="preserve"> to determine whether the target candidate cell as a triggered cell.</w:t>
      </w:r>
    </w:p>
    <w:p w14:paraId="2E3A3643" w14:textId="77777777" w:rsidR="00586E5D" w:rsidRDefault="00586E5D" w:rsidP="00586E5D">
      <w:pPr>
        <w:pStyle w:val="ListParagraph"/>
        <w:numPr>
          <w:ilvl w:val="1"/>
          <w:numId w:val="65"/>
        </w:numPr>
        <w:ind w:firstLineChars="0"/>
      </w:pPr>
      <w:r>
        <w:t xml:space="preserve">Please note that different from NTN, surrounding UEs served by mobile IAB DU may move to cell boundary before DU migration is triggered (i.e. before CondT1 is fulfilled). In this case, these UE should execute HO immediately.   </w:t>
      </w:r>
    </w:p>
    <w:p w14:paraId="0A40718C" w14:textId="70CFB4FD" w:rsidR="00586E5D" w:rsidRDefault="00586E5D" w:rsidP="00586E5D">
      <w:pPr>
        <w:rPr>
          <w:b/>
          <w:bCs/>
          <w:color w:val="auto"/>
        </w:rPr>
      </w:pPr>
      <w:r w:rsidRPr="00B27A2A">
        <w:rPr>
          <w:b/>
          <w:bCs/>
          <w:color w:val="auto"/>
        </w:rPr>
        <w:t xml:space="preserve">Observation </w:t>
      </w:r>
      <w:r w:rsidR="0025070B">
        <w:rPr>
          <w:b/>
          <w:bCs/>
          <w:color w:val="auto"/>
        </w:rPr>
        <w:t>2</w:t>
      </w:r>
      <w:r w:rsidRPr="00B27A2A">
        <w:rPr>
          <w:b/>
          <w:bCs/>
          <w:color w:val="auto"/>
        </w:rPr>
        <w:t xml:space="preserve">: </w:t>
      </w:r>
      <w:r>
        <w:rPr>
          <w:b/>
          <w:bCs/>
          <w:color w:val="auto"/>
        </w:rPr>
        <w:t xml:space="preserve">To allow </w:t>
      </w:r>
      <w:r w:rsidRPr="00A22A33">
        <w:rPr>
          <w:b/>
          <w:bCs/>
          <w:color w:val="auto"/>
        </w:rPr>
        <w:t>non-NTN UE without equipping GNSS to apply CondT1, CondT1 can be revised to use time of source DU</w:t>
      </w:r>
      <w:r>
        <w:rPr>
          <w:b/>
          <w:bCs/>
          <w:color w:val="auto"/>
        </w:rPr>
        <w:t xml:space="preserve"> (i.e. not UTC time)</w:t>
      </w:r>
      <w:r w:rsidRPr="00A22A33">
        <w:rPr>
          <w:b/>
          <w:bCs/>
          <w:color w:val="auto"/>
        </w:rPr>
        <w:t xml:space="preserve"> for non-NTN UEs. Or a new procedure text can be added that after configured with CondT1, non-NTN UEs need to obtain SIB9 to acquire UTC time. </w:t>
      </w:r>
    </w:p>
    <w:p w14:paraId="6550CD17" w14:textId="36B1FECF" w:rsidR="00586E5D" w:rsidRPr="00A22A33" w:rsidRDefault="00586E5D" w:rsidP="00586E5D">
      <w:pPr>
        <w:rPr>
          <w:b/>
          <w:bCs/>
          <w:color w:val="auto"/>
        </w:rPr>
      </w:pPr>
      <w:r w:rsidRPr="00B27A2A">
        <w:rPr>
          <w:b/>
          <w:bCs/>
          <w:color w:val="auto"/>
        </w:rPr>
        <w:t xml:space="preserve">Observation </w:t>
      </w:r>
      <w:r w:rsidR="006B29F1">
        <w:rPr>
          <w:b/>
          <w:bCs/>
          <w:color w:val="auto"/>
        </w:rPr>
        <w:t>3</w:t>
      </w:r>
      <w:r w:rsidRPr="00B27A2A">
        <w:rPr>
          <w:b/>
          <w:bCs/>
          <w:color w:val="auto"/>
        </w:rPr>
        <w:t xml:space="preserve">: </w:t>
      </w:r>
      <w:r w:rsidRPr="00711DFA">
        <w:rPr>
          <w:b/>
          <w:bCs/>
          <w:color w:val="auto"/>
        </w:rPr>
        <w:t xml:space="preserve">Different from NTN, </w:t>
      </w:r>
      <w:r>
        <w:rPr>
          <w:b/>
          <w:bCs/>
          <w:color w:val="auto"/>
        </w:rPr>
        <w:t>surrounding</w:t>
      </w:r>
      <w:r w:rsidRPr="00711DFA">
        <w:rPr>
          <w:b/>
          <w:bCs/>
          <w:color w:val="auto"/>
        </w:rPr>
        <w:t xml:space="preserve"> UEs served by mobile IAB DU may move to cell boundary</w:t>
      </w:r>
      <w:r>
        <w:rPr>
          <w:b/>
          <w:bCs/>
          <w:color w:val="auto"/>
        </w:rPr>
        <w:t xml:space="preserve"> </w:t>
      </w:r>
      <w:r w:rsidRPr="00711DFA">
        <w:rPr>
          <w:b/>
          <w:bCs/>
          <w:color w:val="auto"/>
        </w:rPr>
        <w:t>before DU migration is triggered (i.e. before CondT1 is fulfilled). In this case, these UE should execute HO immediately</w:t>
      </w:r>
      <w:r w:rsidRPr="00A22A33">
        <w:rPr>
          <w:b/>
          <w:bCs/>
          <w:color w:val="auto"/>
        </w:rPr>
        <w:t xml:space="preserve">.      </w:t>
      </w:r>
    </w:p>
    <w:p w14:paraId="67D8E543" w14:textId="77777777" w:rsidR="00586E5D" w:rsidRDefault="00586E5D" w:rsidP="00586E5D">
      <w:pPr>
        <w:rPr>
          <w:b/>
          <w:bCs/>
        </w:rPr>
      </w:pPr>
      <w:r>
        <w:rPr>
          <w:color w:val="auto"/>
        </w:rPr>
        <w:t>We are not sure whether it is worth pursuing these specification changes to support CondT1 in mobile IAB. Thus, we suggest RAN2 to discuss the necessity.</w:t>
      </w:r>
    </w:p>
    <w:p w14:paraId="06E0297D" w14:textId="5A6D9971" w:rsidR="00586E5D" w:rsidRDefault="00586E5D" w:rsidP="00586E5D">
      <w:pPr>
        <w:rPr>
          <w:b/>
          <w:bCs/>
        </w:rPr>
      </w:pPr>
      <w:r w:rsidRPr="00245359">
        <w:rPr>
          <w:b/>
          <w:bCs/>
        </w:rPr>
        <w:t xml:space="preserve">Proposal </w:t>
      </w:r>
      <w:r w:rsidR="00783EC1">
        <w:rPr>
          <w:b/>
          <w:bCs/>
        </w:rPr>
        <w:t>6</w:t>
      </w:r>
      <w:r w:rsidRPr="00245359">
        <w:rPr>
          <w:b/>
          <w:bCs/>
        </w:rPr>
        <w:t xml:space="preserve">: </w:t>
      </w:r>
      <w:r>
        <w:rPr>
          <w:b/>
          <w:bCs/>
        </w:rPr>
        <w:t>RAN2 confirm below specification changes are needed, if CondT1 is supported in mobile IAB.</w:t>
      </w:r>
    </w:p>
    <w:p w14:paraId="60A45455" w14:textId="77777777" w:rsidR="00586E5D" w:rsidRPr="00641BDF" w:rsidRDefault="00586E5D" w:rsidP="00586E5D">
      <w:pPr>
        <w:pStyle w:val="ListParagraph"/>
        <w:numPr>
          <w:ilvl w:val="0"/>
          <w:numId w:val="66"/>
        </w:numPr>
        <w:ind w:firstLineChars="0"/>
        <w:rPr>
          <w:b/>
          <w:bCs/>
        </w:rPr>
      </w:pPr>
      <w:r w:rsidRPr="00641BDF">
        <w:rPr>
          <w:b/>
          <w:bCs/>
        </w:rPr>
        <w:t>Specification change in TS 38.306 to allow non-NTN UE to apply CondT1.</w:t>
      </w:r>
    </w:p>
    <w:p w14:paraId="1B443C5D" w14:textId="77777777" w:rsidR="00586E5D" w:rsidRPr="00641BDF" w:rsidRDefault="00586E5D" w:rsidP="00586E5D">
      <w:pPr>
        <w:pStyle w:val="ListParagraph"/>
        <w:numPr>
          <w:ilvl w:val="0"/>
          <w:numId w:val="66"/>
        </w:numPr>
        <w:ind w:firstLineChars="0"/>
        <w:rPr>
          <w:b/>
          <w:bCs/>
        </w:rPr>
      </w:pPr>
      <w:r w:rsidRPr="00641BDF">
        <w:rPr>
          <w:b/>
          <w:bCs/>
        </w:rPr>
        <w:t>Specification change in TS 38.331 to allow non-NTN UE without equipping GNSS to apply CondT1.</w:t>
      </w:r>
    </w:p>
    <w:p w14:paraId="23CC7C73" w14:textId="77777777" w:rsidR="00586E5D" w:rsidRPr="00641BDF" w:rsidRDefault="00586E5D" w:rsidP="00586E5D">
      <w:pPr>
        <w:pStyle w:val="ListParagraph"/>
        <w:numPr>
          <w:ilvl w:val="0"/>
          <w:numId w:val="66"/>
        </w:numPr>
        <w:ind w:firstLineChars="0"/>
        <w:rPr>
          <w:b/>
          <w:bCs/>
        </w:rPr>
      </w:pPr>
      <w:r w:rsidRPr="00641BDF">
        <w:rPr>
          <w:b/>
          <w:bCs/>
        </w:rPr>
        <w:t xml:space="preserve">Specification change in TS 38.331 to use "OR" (rather than "AND") between CondT1 and </w:t>
      </w:r>
      <w:proofErr w:type="spellStart"/>
      <w:r w:rsidRPr="00641BDF">
        <w:rPr>
          <w:b/>
          <w:bCs/>
        </w:rPr>
        <w:t>CondAx</w:t>
      </w:r>
      <w:proofErr w:type="spellEnd"/>
      <w:r w:rsidRPr="00641BDF">
        <w:rPr>
          <w:b/>
          <w:bCs/>
        </w:rPr>
        <w:t xml:space="preserve"> to determine whether the target candidate cell as a triggered cell.</w:t>
      </w:r>
    </w:p>
    <w:p w14:paraId="20FF6B4E" w14:textId="6D6F646F" w:rsidR="0018432E" w:rsidRDefault="00EC31E2" w:rsidP="0018432E">
      <w:pPr>
        <w:pStyle w:val="Heading2"/>
        <w:rPr>
          <w:lang w:eastAsia="zh-CN"/>
        </w:rPr>
      </w:pPr>
      <w:r>
        <w:t xml:space="preserve">2.4 </w:t>
      </w:r>
      <w:r w:rsidR="0018432E">
        <w:rPr>
          <w:lang w:eastAsia="zh-CN"/>
        </w:rPr>
        <w:t xml:space="preserve">Remaining issues on </w:t>
      </w:r>
      <w:r w:rsidR="007672CA">
        <w:rPr>
          <w:lang w:eastAsia="zh-CN"/>
        </w:rPr>
        <w:t xml:space="preserve">UE </w:t>
      </w:r>
      <w:r w:rsidR="0018432E">
        <w:rPr>
          <w:lang w:eastAsia="zh-CN"/>
        </w:rPr>
        <w:t xml:space="preserve">capability </w:t>
      </w:r>
    </w:p>
    <w:p w14:paraId="445E5985" w14:textId="7647C183" w:rsidR="00D2065F" w:rsidRPr="00D2065F" w:rsidRDefault="00D2065F" w:rsidP="00217E11">
      <w:pPr>
        <w:rPr>
          <w:color w:val="auto"/>
        </w:rPr>
      </w:pPr>
      <w:r w:rsidRPr="00D2065F">
        <w:rPr>
          <w:color w:val="auto"/>
        </w:rPr>
        <w:t xml:space="preserve">Below open issue were identified by </w:t>
      </w:r>
      <w:r>
        <w:rPr>
          <w:rFonts w:hint="eastAsia"/>
          <w:color w:val="auto"/>
          <w:lang w:eastAsia="zh-CN"/>
        </w:rPr>
        <w:t>CR</w:t>
      </w:r>
      <w:r>
        <w:rPr>
          <w:color w:val="auto"/>
          <w:lang w:eastAsia="zh-CN"/>
        </w:rPr>
        <w:t xml:space="preserve"> </w:t>
      </w:r>
      <w:r w:rsidRPr="00D2065F">
        <w:rPr>
          <w:rFonts w:hint="eastAsia"/>
          <w:color w:val="auto"/>
          <w:lang w:eastAsia="zh-CN"/>
        </w:rPr>
        <w:t>R</w:t>
      </w:r>
      <w:r w:rsidRPr="00D2065F">
        <w:rPr>
          <w:color w:val="auto"/>
        </w:rPr>
        <w:t>apporteur</w:t>
      </w:r>
      <w:r>
        <w:rPr>
          <w:color w:val="auto"/>
        </w:rPr>
        <w:t xml:space="preserve"> </w:t>
      </w:r>
      <w:r>
        <w:rPr>
          <w:color w:val="auto"/>
          <w:lang w:eastAsia="zh-CN"/>
        </w:rPr>
        <w:t>of capability</w:t>
      </w:r>
      <w:r w:rsidR="00F60D27">
        <w:rPr>
          <w:color w:val="auto"/>
          <w:lang w:eastAsia="zh-CN"/>
        </w:rPr>
        <w:t xml:space="preserve"> in [9]</w:t>
      </w:r>
      <w:r w:rsidRPr="00D2065F">
        <w:rPr>
          <w:rFonts w:hint="eastAsia"/>
          <w:color w:val="auto"/>
          <w:lang w:eastAsia="zh-CN"/>
        </w:rPr>
        <w:t>:</w:t>
      </w:r>
      <w:r w:rsidRPr="00D2065F">
        <w:rPr>
          <w:color w:val="auto"/>
        </w:rPr>
        <w:t xml:space="preserve"> </w:t>
      </w:r>
    </w:p>
    <w:tbl>
      <w:tblPr>
        <w:tblStyle w:val="TableGrid"/>
        <w:tblW w:w="0" w:type="auto"/>
        <w:tblLook w:val="04A0" w:firstRow="1" w:lastRow="0" w:firstColumn="1" w:lastColumn="0" w:noHBand="0" w:noVBand="1"/>
      </w:tblPr>
      <w:tblGrid>
        <w:gridCol w:w="9628"/>
      </w:tblGrid>
      <w:tr w:rsidR="00D2065F" w:rsidRPr="00D2065F" w14:paraId="16FD8419" w14:textId="77777777" w:rsidTr="000267E6">
        <w:trPr>
          <w:trHeight w:val="1641"/>
        </w:trPr>
        <w:tc>
          <w:tcPr>
            <w:tcW w:w="9628" w:type="dxa"/>
          </w:tcPr>
          <w:p w14:paraId="069B8301" w14:textId="488F4E01" w:rsidR="00D2065F" w:rsidRPr="00D2065F" w:rsidRDefault="00F60D27" w:rsidP="003C558F">
            <w:pPr>
              <w:numPr>
                <w:ilvl w:val="0"/>
                <w:numId w:val="94"/>
              </w:numPr>
              <w:spacing w:after="0" w:line="233" w:lineRule="atLeast"/>
              <w:rPr>
                <w:rFonts w:ascii="Calibri" w:eastAsia="Times New Roman" w:hAnsi="Calibri" w:cs="Calibri"/>
                <w:sz w:val="22"/>
                <w:szCs w:val="22"/>
                <w:lang w:val="en-CN" w:eastAsia="zh-CN"/>
              </w:rPr>
            </w:pPr>
            <w:r>
              <w:rPr>
                <w:rFonts w:ascii="Calibri" w:hAnsi="Calibri" w:cs="Calibri"/>
                <w:b/>
                <w:bCs/>
                <w:sz w:val="22"/>
                <w:szCs w:val="22"/>
              </w:rPr>
              <w:t>Proposal 1</w:t>
            </w:r>
            <w:r>
              <w:rPr>
                <w:rFonts w:ascii="Calibri" w:hAnsi="Calibri" w:cs="Calibri"/>
                <w:sz w:val="22"/>
                <w:szCs w:val="22"/>
              </w:rPr>
              <w:t>: RAN2 assumes mobile-IAB capability is introduced in Rel-18. FFS: if requirement for this capability is impacted by RAN3</w:t>
            </w:r>
            <w:r>
              <w:rPr>
                <w:rStyle w:val="apple-converted-space"/>
                <w:rFonts w:ascii="Calibri" w:hAnsi="Calibri" w:cs="Calibri"/>
                <w:sz w:val="22"/>
                <w:szCs w:val="22"/>
              </w:rPr>
              <w:t> </w:t>
            </w:r>
            <w:r>
              <w:rPr>
                <w:rFonts w:ascii="Calibri" w:hAnsi="Calibri" w:cs="Calibri"/>
                <w:color w:val="FF0000"/>
                <w:sz w:val="22"/>
                <w:szCs w:val="22"/>
              </w:rPr>
              <w:t xml:space="preserve">decision to add/not add mobile IAB-node indication to </w:t>
            </w:r>
            <w:proofErr w:type="spellStart"/>
            <w:r>
              <w:rPr>
                <w:rFonts w:ascii="Calibri" w:hAnsi="Calibri" w:cs="Calibri"/>
                <w:color w:val="FF0000"/>
                <w:sz w:val="22"/>
                <w:szCs w:val="22"/>
              </w:rPr>
              <w:t>Xn</w:t>
            </w:r>
            <w:proofErr w:type="spellEnd"/>
            <w:r>
              <w:rPr>
                <w:rFonts w:ascii="Calibri" w:hAnsi="Calibri" w:cs="Calibri"/>
                <w:color w:val="FF0000"/>
                <w:sz w:val="22"/>
                <w:szCs w:val="22"/>
              </w:rPr>
              <w:t xml:space="preserve"> handover request</w:t>
            </w:r>
            <w:r>
              <w:rPr>
                <w:rStyle w:val="apple-converted-space"/>
                <w:rFonts w:ascii="Calibri" w:hAnsi="Calibri" w:cs="Calibri"/>
                <w:strike/>
                <w:color w:val="FF0000"/>
                <w:sz w:val="22"/>
                <w:szCs w:val="22"/>
              </w:rPr>
              <w:t> </w:t>
            </w:r>
            <w:r>
              <w:rPr>
                <w:rFonts w:ascii="Calibri" w:hAnsi="Calibri" w:cs="Calibri"/>
                <w:strike/>
                <w:color w:val="FF0000"/>
                <w:sz w:val="22"/>
                <w:szCs w:val="22"/>
              </w:rPr>
              <w:t xml:space="preserve">agreements on </w:t>
            </w:r>
            <w:proofErr w:type="spellStart"/>
            <w:r>
              <w:rPr>
                <w:rFonts w:ascii="Calibri" w:hAnsi="Calibri" w:cs="Calibri"/>
                <w:strike/>
                <w:color w:val="FF0000"/>
                <w:sz w:val="22"/>
                <w:szCs w:val="22"/>
              </w:rPr>
              <w:t>Xn</w:t>
            </w:r>
            <w:proofErr w:type="spellEnd"/>
            <w:r>
              <w:rPr>
                <w:rFonts w:ascii="Calibri" w:hAnsi="Calibri" w:cs="Calibri"/>
                <w:strike/>
                <w:color w:val="FF0000"/>
                <w:sz w:val="22"/>
                <w:szCs w:val="22"/>
              </w:rPr>
              <w:t xml:space="preserve"> </w:t>
            </w:r>
            <w:proofErr w:type="spellStart"/>
            <w:r>
              <w:rPr>
                <w:rFonts w:ascii="Calibri" w:hAnsi="Calibri" w:cs="Calibri"/>
                <w:strike/>
                <w:color w:val="FF0000"/>
                <w:sz w:val="22"/>
                <w:szCs w:val="22"/>
              </w:rPr>
              <w:t>signalling</w:t>
            </w:r>
            <w:proofErr w:type="spellEnd"/>
            <w:r>
              <w:rPr>
                <w:rFonts w:ascii="Calibri" w:hAnsi="Calibri" w:cs="Calibri"/>
                <w:sz w:val="22"/>
                <w:szCs w:val="22"/>
              </w:rPr>
              <w:t>. FFS: if any need to clarify with SA2 the intention of “for a MBSR node to operate as a MBSR” from clause 5.35A.1 of TS 23.501</w:t>
            </w:r>
            <w:r>
              <w:rPr>
                <w:rFonts w:ascii="Calibri" w:hAnsi="Calibri" w:cs="Calibri"/>
                <w:color w:val="FF0000"/>
                <w:sz w:val="22"/>
                <w:szCs w:val="22"/>
              </w:rPr>
              <w:t>, i.e. whether a mobile IAB shall always include or optionally include</w:t>
            </w:r>
            <w:r>
              <w:rPr>
                <w:rFonts w:ascii="Calibri" w:hAnsi="Calibri" w:cs="Calibri"/>
                <w:i/>
                <w:iCs/>
                <w:color w:val="FF0000"/>
                <w:sz w:val="22"/>
                <w:szCs w:val="22"/>
              </w:rPr>
              <w:t>mobileIAB-NodeIndication-r18</w:t>
            </w:r>
            <w:r>
              <w:rPr>
                <w:rStyle w:val="apple-converted-space"/>
                <w:rFonts w:ascii="Calibri" w:hAnsi="Calibri" w:cs="Calibri"/>
                <w:color w:val="FF0000"/>
                <w:sz w:val="22"/>
                <w:szCs w:val="22"/>
              </w:rPr>
              <w:t> </w:t>
            </w:r>
            <w:r>
              <w:rPr>
                <w:rFonts w:ascii="Calibri" w:hAnsi="Calibri" w:cs="Calibri"/>
                <w:color w:val="FF0000"/>
                <w:sz w:val="22"/>
                <w:szCs w:val="22"/>
              </w:rPr>
              <w:t>in Msg5</w:t>
            </w:r>
            <w:r>
              <w:rPr>
                <w:rFonts w:ascii="Calibri" w:hAnsi="Calibri" w:cs="Calibri"/>
                <w:sz w:val="22"/>
                <w:szCs w:val="22"/>
              </w:rPr>
              <w:t>.</w:t>
            </w:r>
          </w:p>
        </w:tc>
      </w:tr>
    </w:tbl>
    <w:p w14:paraId="5C3DE885" w14:textId="77777777" w:rsidR="00D2065F" w:rsidRDefault="00D2065F" w:rsidP="00217E11">
      <w:pPr>
        <w:rPr>
          <w:b/>
          <w:bCs/>
          <w:color w:val="auto"/>
        </w:rPr>
      </w:pPr>
    </w:p>
    <w:p w14:paraId="00EB0052" w14:textId="7DE3FB60" w:rsidR="00DD529E" w:rsidRPr="00DD529E" w:rsidRDefault="00DD529E" w:rsidP="00217E11">
      <w:pPr>
        <w:rPr>
          <w:i/>
          <w:iCs/>
          <w:color w:val="auto"/>
          <w:u w:val="single"/>
        </w:rPr>
      </w:pPr>
      <w:r w:rsidRPr="00DD529E">
        <w:rPr>
          <w:i/>
          <w:iCs/>
          <w:color w:val="auto"/>
          <w:u w:val="single"/>
        </w:rPr>
        <w:t xml:space="preserve">#Open issue 1: if requirement for this capability is impacted by RAN3 decision to add/not add mobile IAB-node indication to </w:t>
      </w:r>
      <w:proofErr w:type="spellStart"/>
      <w:r w:rsidRPr="00DD529E">
        <w:rPr>
          <w:i/>
          <w:iCs/>
          <w:color w:val="auto"/>
          <w:u w:val="single"/>
        </w:rPr>
        <w:t>Xn</w:t>
      </w:r>
      <w:proofErr w:type="spellEnd"/>
      <w:r w:rsidRPr="00DD529E">
        <w:rPr>
          <w:i/>
          <w:iCs/>
          <w:color w:val="auto"/>
          <w:u w:val="single"/>
        </w:rPr>
        <w:t xml:space="preserve"> handover request </w:t>
      </w:r>
    </w:p>
    <w:p w14:paraId="2677BDB8" w14:textId="4FD64AF0" w:rsidR="00B92514" w:rsidRDefault="006D0793" w:rsidP="00FF6AF5">
      <w:pPr>
        <w:rPr>
          <w:lang w:eastAsia="zh-CN"/>
        </w:rPr>
      </w:pPr>
      <w:r>
        <w:rPr>
          <w:color w:val="auto"/>
        </w:rPr>
        <w:t xml:space="preserve">We don't think RAN2 decision on introducing </w:t>
      </w:r>
      <w:r w:rsidRPr="006D0793">
        <w:rPr>
          <w:color w:val="auto"/>
        </w:rPr>
        <w:t xml:space="preserve">mobile-IAB capability </w:t>
      </w:r>
      <w:r>
        <w:rPr>
          <w:color w:val="auto"/>
        </w:rPr>
        <w:t xml:space="preserve">is impacted by RAN3 discussion. </w:t>
      </w:r>
      <w:r>
        <w:rPr>
          <w:lang w:eastAsia="zh-CN"/>
        </w:rPr>
        <w:t xml:space="preserve">UE capability and the indication bit in Msg5 are served for different purposes. </w:t>
      </w:r>
      <w:r w:rsidR="005B117C">
        <w:rPr>
          <w:lang w:eastAsia="zh-CN"/>
        </w:rPr>
        <w:t xml:space="preserve">Thus, both of them are needed. </w:t>
      </w:r>
    </w:p>
    <w:p w14:paraId="3198D068" w14:textId="77777777" w:rsidR="00254573" w:rsidRDefault="005B117C" w:rsidP="005B117C">
      <w:pPr>
        <w:rPr>
          <w:b/>
          <w:bCs/>
          <w:color w:val="auto"/>
        </w:rPr>
      </w:pPr>
      <w:r>
        <w:rPr>
          <w:b/>
          <w:bCs/>
          <w:color w:val="auto"/>
        </w:rPr>
        <w:lastRenderedPageBreak/>
        <w:t>Proposal 7</w:t>
      </w:r>
      <w:r w:rsidRPr="00B27A2A">
        <w:rPr>
          <w:b/>
          <w:bCs/>
          <w:color w:val="auto"/>
        </w:rPr>
        <w:t xml:space="preserve">: </w:t>
      </w:r>
      <w:r w:rsidR="00254573">
        <w:rPr>
          <w:b/>
          <w:bCs/>
          <w:color w:val="auto"/>
        </w:rPr>
        <w:t xml:space="preserve">RAN2 introduce the </w:t>
      </w:r>
      <w:r w:rsidR="00254573" w:rsidRPr="00254573">
        <w:rPr>
          <w:b/>
          <w:bCs/>
          <w:color w:val="auto"/>
        </w:rPr>
        <w:t>mobile-IAB capability</w:t>
      </w:r>
      <w:r w:rsidR="00254573">
        <w:rPr>
          <w:b/>
          <w:bCs/>
          <w:color w:val="auto"/>
        </w:rPr>
        <w:t xml:space="preserve"> and inform RAN3. </w:t>
      </w:r>
    </w:p>
    <w:p w14:paraId="319710F0" w14:textId="45B7B154" w:rsidR="00254573" w:rsidRPr="00DD529E" w:rsidRDefault="00254573" w:rsidP="00254573">
      <w:pPr>
        <w:rPr>
          <w:i/>
          <w:iCs/>
          <w:color w:val="auto"/>
          <w:u w:val="single"/>
        </w:rPr>
      </w:pPr>
      <w:r w:rsidRPr="00DD529E">
        <w:rPr>
          <w:i/>
          <w:iCs/>
          <w:color w:val="auto"/>
          <w:u w:val="single"/>
        </w:rPr>
        <w:t xml:space="preserve">#Open issue </w:t>
      </w:r>
      <w:r>
        <w:rPr>
          <w:i/>
          <w:iCs/>
          <w:color w:val="auto"/>
          <w:u w:val="single"/>
        </w:rPr>
        <w:t>2</w:t>
      </w:r>
      <w:r w:rsidRPr="00DD529E">
        <w:rPr>
          <w:i/>
          <w:iCs/>
          <w:color w:val="auto"/>
          <w:u w:val="single"/>
        </w:rPr>
        <w:t xml:space="preserve">: </w:t>
      </w:r>
      <w:r w:rsidR="00CF4C36" w:rsidRPr="00CF4C36">
        <w:rPr>
          <w:i/>
          <w:iCs/>
          <w:color w:val="auto"/>
          <w:u w:val="single"/>
        </w:rPr>
        <w:t>whether a mobile IAB shall always include or optionally include</w:t>
      </w:r>
      <w:r w:rsidR="001C0665">
        <w:rPr>
          <w:i/>
          <w:iCs/>
          <w:color w:val="auto"/>
          <w:u w:val="single"/>
        </w:rPr>
        <w:t xml:space="preserve"> </w:t>
      </w:r>
      <w:r w:rsidR="00CF4C36" w:rsidRPr="00CF4C36">
        <w:rPr>
          <w:i/>
          <w:iCs/>
          <w:color w:val="auto"/>
          <w:u w:val="single"/>
        </w:rPr>
        <w:t>mobileIAB-NodeIndication-r18 in Msg5.</w:t>
      </w:r>
    </w:p>
    <w:p w14:paraId="0B718216" w14:textId="76AF3B76" w:rsidR="00254573" w:rsidRDefault="003510C9" w:rsidP="00254573">
      <w:pPr>
        <w:rPr>
          <w:color w:val="auto"/>
        </w:rPr>
      </w:pPr>
      <w:r>
        <w:rPr>
          <w:color w:val="auto"/>
        </w:rPr>
        <w:t xml:space="preserve">According to below copy of TS 23.501, </w:t>
      </w:r>
      <w:r w:rsidR="00BD7FC3">
        <w:rPr>
          <w:color w:val="auto"/>
        </w:rPr>
        <w:t xml:space="preserve">the </w:t>
      </w:r>
      <w:r w:rsidR="00BD7FC3" w:rsidRPr="00BD7FC3">
        <w:rPr>
          <w:rFonts w:hint="eastAsia"/>
          <w:color w:val="auto"/>
        </w:rPr>
        <w:t xml:space="preserve">mobile IAB node indication is optionally included in msg5, </w:t>
      </w:r>
      <w:r w:rsidR="001C0665">
        <w:rPr>
          <w:color w:val="auto"/>
        </w:rPr>
        <w:t xml:space="preserve">e.g. </w:t>
      </w:r>
      <w:r w:rsidR="00BD7FC3" w:rsidRPr="00BD7FC3">
        <w:rPr>
          <w:rFonts w:hint="eastAsia"/>
          <w:color w:val="auto"/>
        </w:rPr>
        <w:t>due to the MBSR is not authorized</w:t>
      </w:r>
      <w:r w:rsidR="001C0665">
        <w:rPr>
          <w:color w:val="auto"/>
        </w:rPr>
        <w:t xml:space="preserve">. </w:t>
      </w:r>
    </w:p>
    <w:tbl>
      <w:tblPr>
        <w:tblW w:w="0" w:type="auto"/>
        <w:tblCellSpacing w:w="30" w:type="dxa"/>
        <w:tblCellMar>
          <w:left w:w="0" w:type="dxa"/>
          <w:right w:w="0" w:type="dxa"/>
        </w:tblCellMar>
        <w:tblLook w:val="04A0" w:firstRow="1" w:lastRow="0" w:firstColumn="1" w:lastColumn="0" w:noHBand="0" w:noVBand="1"/>
      </w:tblPr>
      <w:tblGrid>
        <w:gridCol w:w="9618"/>
      </w:tblGrid>
      <w:tr w:rsidR="003510C9" w:rsidRPr="003510C9" w14:paraId="30365835" w14:textId="77777777" w:rsidTr="001C0665">
        <w:trPr>
          <w:trHeight w:val="1757"/>
          <w:tblCellSpacing w:w="30" w:type="dxa"/>
        </w:trPr>
        <w:tc>
          <w:tcPr>
            <w:tcW w:w="14355" w:type="dxa"/>
            <w:tcBorders>
              <w:top w:val="single" w:sz="8" w:space="0" w:color="auto"/>
              <w:left w:val="single" w:sz="8" w:space="0" w:color="auto"/>
              <w:bottom w:val="single" w:sz="8" w:space="0" w:color="auto"/>
              <w:right w:val="single" w:sz="8" w:space="0" w:color="auto"/>
            </w:tcBorders>
            <w:hideMark/>
          </w:tcPr>
          <w:p w14:paraId="6D3F5755" w14:textId="4EEE8B45" w:rsidR="003510C9" w:rsidRPr="003510C9" w:rsidRDefault="003510C9" w:rsidP="003510C9">
            <w:pPr>
              <w:rPr>
                <w:lang w:val="en-CN" w:eastAsia="zh-CN"/>
              </w:rPr>
            </w:pPr>
            <w:r>
              <w:rPr>
                <w:lang w:eastAsia="zh-CN"/>
              </w:rPr>
              <w:t xml:space="preserve">TS </w:t>
            </w:r>
            <w:r w:rsidRPr="003510C9">
              <w:rPr>
                <w:rFonts w:hint="eastAsia"/>
                <w:lang w:val="en-CN" w:eastAsia="zh-CN"/>
              </w:rPr>
              <w:t>23.501:</w:t>
            </w:r>
          </w:p>
          <w:p w14:paraId="33ED4329" w14:textId="5B04FF14" w:rsidR="003510C9" w:rsidRPr="003510C9" w:rsidRDefault="003510C9" w:rsidP="003510C9">
            <w:pPr>
              <w:rPr>
                <w:lang w:val="en-CN" w:eastAsia="zh-CN"/>
              </w:rPr>
            </w:pPr>
            <w:r w:rsidRPr="003510C9">
              <w:rPr>
                <w:lang w:val="en-CN" w:eastAsia="zh-CN"/>
              </w:rPr>
              <w:t>For a MBSR node to operate as a MBSR,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 </w:t>
            </w:r>
            <w:r w:rsidRPr="003510C9">
              <w:rPr>
                <w:highlight w:val="yellow"/>
                <w:lang w:val="en-CN" w:eastAsia="zh-CN"/>
              </w:rPr>
              <w:t>If the MBSR node does not operate as a MBSR, e.g. due to the MBSR authorization indication from AMF, it does not provide the indication when establishing new RRC connection.</w:t>
            </w:r>
          </w:p>
        </w:tc>
      </w:tr>
    </w:tbl>
    <w:p w14:paraId="199414FC" w14:textId="77777777" w:rsidR="001C0665" w:rsidRDefault="001C0665" w:rsidP="00254573">
      <w:pPr>
        <w:rPr>
          <w:lang w:eastAsia="zh-CN"/>
        </w:rPr>
      </w:pPr>
    </w:p>
    <w:p w14:paraId="12CCD2E6" w14:textId="4AF81B91" w:rsidR="001C0665" w:rsidRDefault="001C0665" w:rsidP="00254573">
      <w:pPr>
        <w:rPr>
          <w:lang w:eastAsia="zh-CN"/>
        </w:rPr>
      </w:pPr>
      <w:r>
        <w:rPr>
          <w:lang w:eastAsia="zh-CN"/>
        </w:rPr>
        <w:t xml:space="preserve">Thus, it is clear that </w:t>
      </w:r>
      <w:r>
        <w:rPr>
          <w:color w:val="auto"/>
        </w:rPr>
        <w:t xml:space="preserve">the </w:t>
      </w:r>
      <w:r w:rsidRPr="00BD7FC3">
        <w:rPr>
          <w:rFonts w:hint="eastAsia"/>
          <w:color w:val="auto"/>
        </w:rPr>
        <w:t>mobile IAB node indication is optional</w:t>
      </w:r>
      <w:r w:rsidR="00EB458A">
        <w:rPr>
          <w:color w:val="auto"/>
        </w:rPr>
        <w:t>ly included in msg5 in the cases mentioned in TS 23.501, which can be included in its field description.</w:t>
      </w:r>
    </w:p>
    <w:p w14:paraId="1C9830A1" w14:textId="39EFC41D" w:rsidR="00254573" w:rsidRDefault="00254573" w:rsidP="00254573">
      <w:pPr>
        <w:rPr>
          <w:b/>
          <w:bCs/>
          <w:color w:val="auto"/>
        </w:rPr>
      </w:pPr>
      <w:r>
        <w:rPr>
          <w:b/>
          <w:bCs/>
          <w:color w:val="auto"/>
        </w:rPr>
        <w:t xml:space="preserve">Proposal </w:t>
      </w:r>
      <w:r w:rsidR="001C0665">
        <w:rPr>
          <w:b/>
          <w:bCs/>
          <w:color w:val="auto"/>
        </w:rPr>
        <w:t>8</w:t>
      </w:r>
      <w:r w:rsidRPr="00B27A2A">
        <w:rPr>
          <w:b/>
          <w:bCs/>
          <w:color w:val="auto"/>
        </w:rPr>
        <w:t xml:space="preserve">: </w:t>
      </w:r>
      <w:r w:rsidR="00771608" w:rsidRPr="00771608">
        <w:rPr>
          <w:b/>
          <w:bCs/>
          <w:color w:val="auto"/>
        </w:rPr>
        <w:t xml:space="preserve">The </w:t>
      </w:r>
      <w:r w:rsidR="00771608" w:rsidRPr="00771608">
        <w:rPr>
          <w:rFonts w:hint="eastAsia"/>
          <w:b/>
          <w:bCs/>
          <w:color w:val="auto"/>
        </w:rPr>
        <w:t>mobile IAB node indication is optionally included in msg5</w:t>
      </w:r>
      <w:r w:rsidR="00771608" w:rsidRPr="00771608">
        <w:rPr>
          <w:b/>
          <w:bCs/>
          <w:color w:val="auto"/>
        </w:rPr>
        <w:t xml:space="preserve"> in the cases mentioned in TS 23.501.</w:t>
      </w:r>
    </w:p>
    <w:p w14:paraId="5313F7D6" w14:textId="4C95CB11" w:rsidR="005B117C" w:rsidRPr="00771608" w:rsidRDefault="005B117C" w:rsidP="00FF6AF5">
      <w:pPr>
        <w:rPr>
          <w:b/>
          <w:bCs/>
          <w:color w:val="auto"/>
        </w:rPr>
      </w:pPr>
      <w:r w:rsidRPr="00A22A33">
        <w:rPr>
          <w:b/>
          <w:bCs/>
          <w:color w:val="auto"/>
        </w:rPr>
        <w:t xml:space="preserve">    </w:t>
      </w:r>
    </w:p>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4E237F4B" w:rsidR="00C1478B" w:rsidRDefault="00C231DA" w:rsidP="00E515A8">
      <w:pPr>
        <w:pStyle w:val="NO"/>
        <w:ind w:left="0" w:firstLine="0"/>
        <w:rPr>
          <w:lang w:eastAsia="zh-CN"/>
        </w:rPr>
      </w:pPr>
      <w:r w:rsidRPr="00FA5ADC">
        <w:t xml:space="preserve">In this contribution, </w:t>
      </w:r>
      <w:r w:rsidR="006F5D0C">
        <w:rPr>
          <w:lang w:eastAsia="zh-CN"/>
        </w:rPr>
        <w:t>we share our view on</w:t>
      </w:r>
      <w:r w:rsidR="00771608">
        <w:rPr>
          <w:lang w:eastAsia="zh-CN"/>
        </w:rPr>
        <w:t xml:space="preserve"> remaining issues on CONNECTED mobility in mobile IAB</w:t>
      </w:r>
      <w:r w:rsidR="006F5D0C">
        <w:rPr>
          <w:lang w:eastAsia="zh-CN"/>
        </w:rPr>
        <w:t xml:space="preserve">. Our proposals are: </w:t>
      </w:r>
    </w:p>
    <w:p w14:paraId="7149F355" w14:textId="77777777" w:rsidR="00294C5E" w:rsidRPr="00294C5E" w:rsidRDefault="00294C5E" w:rsidP="00294C5E">
      <w:pPr>
        <w:pStyle w:val="NO"/>
        <w:ind w:left="0" w:firstLine="0"/>
        <w:rPr>
          <w:i/>
          <w:iCs/>
          <w:u w:val="single"/>
          <w:lang w:eastAsia="zh-CN"/>
        </w:rPr>
      </w:pPr>
      <w:r>
        <w:rPr>
          <w:i/>
          <w:iCs/>
          <w:u w:val="single"/>
          <w:lang w:eastAsia="zh-CN"/>
        </w:rPr>
        <w:t>Remaining issues on RACH-less HO</w:t>
      </w:r>
    </w:p>
    <w:p w14:paraId="0349C06E" w14:textId="77777777" w:rsidR="00105BE0" w:rsidRDefault="00105BE0" w:rsidP="00105BE0">
      <w:pPr>
        <w:rPr>
          <w:b/>
          <w:bCs/>
          <w:color w:val="auto"/>
        </w:rPr>
      </w:pPr>
      <w:r>
        <w:rPr>
          <w:b/>
          <w:bCs/>
          <w:color w:val="auto"/>
        </w:rPr>
        <w:t>Proposal 1: On top of NTN RRC running CR (</w:t>
      </w:r>
      <w:r w:rsidRPr="00B401F8">
        <w:rPr>
          <w:b/>
          <w:bCs/>
          <w:color w:val="auto"/>
        </w:rPr>
        <w:t>R2-2309341)</w:t>
      </w:r>
      <w:r>
        <w:rPr>
          <w:b/>
          <w:bCs/>
          <w:color w:val="auto"/>
        </w:rPr>
        <w:t>, only the following two changes are needed:</w:t>
      </w:r>
    </w:p>
    <w:p w14:paraId="3F67F6DB" w14:textId="77777777" w:rsidR="00105BE0" w:rsidRPr="00071F0D" w:rsidRDefault="00105BE0" w:rsidP="00105BE0">
      <w:pPr>
        <w:pStyle w:val="ListParagraph"/>
        <w:numPr>
          <w:ilvl w:val="0"/>
          <w:numId w:val="92"/>
        </w:numPr>
        <w:ind w:firstLineChars="0"/>
        <w:rPr>
          <w:b/>
          <w:bCs/>
        </w:rPr>
      </w:pPr>
      <w:r w:rsidRPr="00071F0D">
        <w:rPr>
          <w:b/>
          <w:bCs/>
        </w:rPr>
        <w:t xml:space="preserve">Because different RACH-less configurations (e.g. beam information, SSB threshold) may be used between mobile IAB and NTN, </w:t>
      </w:r>
      <w:r>
        <w:rPr>
          <w:b/>
          <w:bCs/>
        </w:rPr>
        <w:t xml:space="preserve">introduce </w:t>
      </w:r>
      <w:r w:rsidRPr="00071F0D">
        <w:rPr>
          <w:b/>
          <w:bCs/>
        </w:rPr>
        <w:t xml:space="preserve">a separate </w:t>
      </w:r>
      <w:r w:rsidRPr="00071F0D">
        <w:rPr>
          <w:b/>
          <w:bCs/>
          <w:i/>
          <w:iCs/>
        </w:rPr>
        <w:t>miab-Rach-LessHO-r18</w:t>
      </w:r>
      <w:r w:rsidRPr="00071F0D">
        <w:rPr>
          <w:b/>
          <w:bCs/>
        </w:rPr>
        <w:t xml:space="preserve">. </w:t>
      </w:r>
    </w:p>
    <w:p w14:paraId="12760090" w14:textId="77777777" w:rsidR="00105BE0" w:rsidRPr="00071F0D" w:rsidRDefault="00105BE0" w:rsidP="00105BE0">
      <w:pPr>
        <w:pStyle w:val="ListParagraph"/>
        <w:numPr>
          <w:ilvl w:val="0"/>
          <w:numId w:val="92"/>
        </w:numPr>
        <w:ind w:firstLineChars="0"/>
        <w:rPr>
          <w:b/>
          <w:bCs/>
        </w:rPr>
      </w:pPr>
      <w:r w:rsidRPr="00071F0D">
        <w:rPr>
          <w:b/>
          <w:bCs/>
        </w:rPr>
        <w:t xml:space="preserve">The IE to indicate TA of target cell (i.e. </w:t>
      </w:r>
      <w:r w:rsidRPr="00071F0D">
        <w:rPr>
          <w:b/>
          <w:bCs/>
          <w:i/>
          <w:iCs/>
        </w:rPr>
        <w:t>targetNTA-r18</w:t>
      </w:r>
      <w:r w:rsidRPr="00071F0D">
        <w:rPr>
          <w:b/>
          <w:bCs/>
        </w:rPr>
        <w:t xml:space="preserve"> for NTN) is not needed because </w:t>
      </w:r>
      <w:r>
        <w:rPr>
          <w:b/>
          <w:bCs/>
        </w:rPr>
        <w:t>it</w:t>
      </w:r>
      <w:r w:rsidRPr="00071F0D">
        <w:rPr>
          <w:b/>
          <w:bCs/>
        </w:rPr>
        <w:t xml:space="preserve"> </w:t>
      </w:r>
      <w:r>
        <w:rPr>
          <w:b/>
          <w:bCs/>
        </w:rPr>
        <w:t>was</w:t>
      </w:r>
      <w:r w:rsidRPr="00071F0D">
        <w:rPr>
          <w:b/>
          <w:bCs/>
        </w:rPr>
        <w:t xml:space="preserve"> agreed only same TA case is supported for m</w:t>
      </w:r>
      <w:r>
        <w:rPr>
          <w:b/>
          <w:bCs/>
        </w:rPr>
        <w:t xml:space="preserve">obile </w:t>
      </w:r>
      <w:r w:rsidRPr="00071F0D">
        <w:rPr>
          <w:b/>
          <w:bCs/>
        </w:rPr>
        <w:t xml:space="preserve">IAB.  </w:t>
      </w:r>
      <w:r w:rsidRPr="00071F0D">
        <w:rPr>
          <w:b/>
          <w:bCs/>
          <w:sz w:val="13"/>
          <w:szCs w:val="16"/>
        </w:rPr>
        <w:t xml:space="preserve">                </w:t>
      </w:r>
    </w:p>
    <w:p w14:paraId="595E08B6" w14:textId="77777777" w:rsidR="00105BE0" w:rsidRDefault="00105BE0" w:rsidP="00105BE0">
      <w:pPr>
        <w:rPr>
          <w:b/>
          <w:bCs/>
          <w:color w:val="auto"/>
        </w:rPr>
      </w:pPr>
      <w:r>
        <w:rPr>
          <w:b/>
          <w:bCs/>
          <w:color w:val="auto"/>
        </w:rPr>
        <w:t>Proposal 2: On top of NTN MAC running CR (</w:t>
      </w:r>
      <w:r w:rsidRPr="00B401F8">
        <w:rPr>
          <w:b/>
          <w:bCs/>
          <w:color w:val="auto"/>
        </w:rPr>
        <w:t>R2-230934</w:t>
      </w:r>
      <w:r>
        <w:rPr>
          <w:b/>
          <w:bCs/>
          <w:color w:val="auto"/>
        </w:rPr>
        <w:t>5</w:t>
      </w:r>
      <w:r w:rsidRPr="00B401F8">
        <w:rPr>
          <w:b/>
          <w:bCs/>
          <w:color w:val="auto"/>
        </w:rPr>
        <w:t>)</w:t>
      </w:r>
      <w:r>
        <w:rPr>
          <w:b/>
          <w:bCs/>
          <w:color w:val="auto"/>
        </w:rPr>
        <w:t>, the following changes in section 5.2 are needed:</w:t>
      </w:r>
    </w:p>
    <w:p w14:paraId="078106D6" w14:textId="77777777" w:rsidR="00105BE0" w:rsidRPr="00585CFB" w:rsidRDefault="00105BE0" w:rsidP="00105BE0">
      <w:pPr>
        <w:pStyle w:val="ListParagraph"/>
        <w:numPr>
          <w:ilvl w:val="0"/>
          <w:numId w:val="93"/>
        </w:numPr>
        <w:ind w:firstLineChars="0"/>
        <w:rPr>
          <w:b/>
          <w:bCs/>
          <w:iCs/>
        </w:rPr>
      </w:pPr>
      <w:r>
        <w:rPr>
          <w:b/>
          <w:bCs/>
        </w:rPr>
        <w:t>Because</w:t>
      </w:r>
      <w:r w:rsidRPr="00585CFB">
        <w:rPr>
          <w:b/>
          <w:bCs/>
        </w:rPr>
        <w:t xml:space="preserve"> the IE </w:t>
      </w:r>
      <w:r w:rsidRPr="00585CFB">
        <w:rPr>
          <w:b/>
          <w:bCs/>
          <w:i/>
          <w:iCs/>
        </w:rPr>
        <w:t>targetNTA-r18</w:t>
      </w:r>
      <w:r w:rsidRPr="00585CFB">
        <w:rPr>
          <w:b/>
          <w:bCs/>
        </w:rPr>
        <w:t xml:space="preserve"> is not needed</w:t>
      </w:r>
      <w:r>
        <w:rPr>
          <w:b/>
          <w:bCs/>
        </w:rPr>
        <w:t xml:space="preserve"> </w:t>
      </w:r>
      <w:r w:rsidRPr="00585CFB">
        <w:rPr>
          <w:b/>
          <w:bCs/>
        </w:rPr>
        <w:t>in mobile IAB</w:t>
      </w:r>
      <w:r>
        <w:rPr>
          <w:b/>
          <w:bCs/>
        </w:rPr>
        <w:t>, add</w:t>
      </w:r>
      <w:r w:rsidRPr="00585CFB">
        <w:rPr>
          <w:b/>
          <w:bCs/>
        </w:rPr>
        <w:t xml:space="preserve"> specif</w:t>
      </w:r>
      <w:r>
        <w:rPr>
          <w:b/>
          <w:bCs/>
        </w:rPr>
        <w:t>ication that</w:t>
      </w:r>
      <w:r w:rsidRPr="00585CFB">
        <w:rPr>
          <w:b/>
          <w:bCs/>
        </w:rPr>
        <w:t xml:space="preserve"> mobile IAB UE(s) shall use TA of source cell </w:t>
      </w:r>
      <w:r w:rsidRPr="00585CFB">
        <w:rPr>
          <w:b/>
          <w:bCs/>
          <w:iCs/>
        </w:rPr>
        <w:t xml:space="preserve">for the target PTAG of handover. </w:t>
      </w:r>
    </w:p>
    <w:p w14:paraId="7BEFF59D" w14:textId="77777777" w:rsidR="00105BE0" w:rsidRDefault="00105BE0" w:rsidP="00105BE0">
      <w:pPr>
        <w:pStyle w:val="ListParagraph"/>
        <w:numPr>
          <w:ilvl w:val="0"/>
          <w:numId w:val="93"/>
        </w:numPr>
        <w:ind w:firstLineChars="0"/>
        <w:rPr>
          <w:b/>
          <w:bCs/>
          <w:iCs/>
        </w:rPr>
      </w:pPr>
      <w:r w:rsidRPr="00585CFB">
        <w:rPr>
          <w:b/>
          <w:bCs/>
          <w:iCs/>
        </w:rPr>
        <w:t xml:space="preserve">The FFS when </w:t>
      </w:r>
      <w:proofErr w:type="spellStart"/>
      <w:r w:rsidRPr="00585CFB">
        <w:rPr>
          <w:b/>
          <w:bCs/>
          <w:i/>
        </w:rPr>
        <w:t>timeAlignmentTimer</w:t>
      </w:r>
      <w:proofErr w:type="spellEnd"/>
      <w:r w:rsidRPr="00585CFB">
        <w:rPr>
          <w:b/>
          <w:bCs/>
          <w:i/>
        </w:rPr>
        <w:t xml:space="preserve"> </w:t>
      </w:r>
      <w:r w:rsidRPr="00585CFB">
        <w:rPr>
          <w:b/>
          <w:bCs/>
          <w:iCs/>
        </w:rPr>
        <w:t xml:space="preserve">starts is a NTN specific </w:t>
      </w:r>
      <w:r>
        <w:rPr>
          <w:b/>
          <w:bCs/>
          <w:iCs/>
        </w:rPr>
        <w:t>one</w:t>
      </w:r>
      <w:r w:rsidRPr="00585CFB">
        <w:rPr>
          <w:b/>
          <w:bCs/>
          <w:iCs/>
        </w:rPr>
        <w:t>, and thereby not applied to mobile IAB RACH-less HO.</w:t>
      </w:r>
    </w:p>
    <w:p w14:paraId="0D4A83BD" w14:textId="77777777" w:rsidR="00105BE0" w:rsidRDefault="00105BE0" w:rsidP="00105BE0">
      <w:pPr>
        <w:rPr>
          <w:b/>
          <w:bCs/>
          <w:color w:val="auto"/>
        </w:rPr>
      </w:pPr>
      <w:r>
        <w:rPr>
          <w:b/>
          <w:bCs/>
          <w:color w:val="auto"/>
        </w:rPr>
        <w:t>Proposal 3: On top of NTN MAC running CR (</w:t>
      </w:r>
      <w:r w:rsidRPr="00B401F8">
        <w:rPr>
          <w:b/>
          <w:bCs/>
          <w:color w:val="auto"/>
        </w:rPr>
        <w:t>R2-230934</w:t>
      </w:r>
      <w:r>
        <w:rPr>
          <w:b/>
          <w:bCs/>
          <w:color w:val="auto"/>
        </w:rPr>
        <w:t>5</w:t>
      </w:r>
      <w:r w:rsidRPr="00B401F8">
        <w:rPr>
          <w:b/>
          <w:bCs/>
          <w:color w:val="auto"/>
        </w:rPr>
        <w:t>)</w:t>
      </w:r>
      <w:r>
        <w:rPr>
          <w:b/>
          <w:bCs/>
          <w:color w:val="auto"/>
        </w:rPr>
        <w:t xml:space="preserve">, the following change in section 5.8.6 and section 5.xx is needed: </w:t>
      </w:r>
    </w:p>
    <w:p w14:paraId="7EACA41A" w14:textId="77777777" w:rsidR="00105BE0" w:rsidRPr="00FF6AF5" w:rsidRDefault="00105BE0" w:rsidP="00105BE0">
      <w:pPr>
        <w:pStyle w:val="ListParagraph"/>
        <w:numPr>
          <w:ilvl w:val="0"/>
          <w:numId w:val="91"/>
        </w:numPr>
        <w:ind w:firstLineChars="0"/>
        <w:rPr>
          <w:b/>
          <w:bCs/>
        </w:rPr>
      </w:pPr>
      <w:r w:rsidRPr="00FF6AF5">
        <w:rPr>
          <w:b/>
          <w:bCs/>
          <w:iCs/>
        </w:rPr>
        <w:t xml:space="preserve">Add mobile IAB UE behavior of handling CG Type 1 in </w:t>
      </w:r>
      <w:proofErr w:type="spellStart"/>
      <w:r w:rsidRPr="00FF6AF5">
        <w:rPr>
          <w:b/>
          <w:bCs/>
          <w:iCs/>
        </w:rPr>
        <w:t>preallocated</w:t>
      </w:r>
      <w:proofErr w:type="spellEnd"/>
      <w:r w:rsidRPr="00FF6AF5">
        <w:rPr>
          <w:b/>
          <w:bCs/>
          <w:iCs/>
        </w:rPr>
        <w:t xml:space="preserve"> uplink grant, where the behavior of NTN UE can be reused with change </w:t>
      </w:r>
      <w:proofErr w:type="spellStart"/>
      <w:r w:rsidRPr="00FF6AF5">
        <w:rPr>
          <w:b/>
          <w:bCs/>
          <w:i/>
          <w:iCs/>
          <w:color w:val="000000" w:themeColor="text1"/>
          <w:lang w:eastAsia="zh-CN"/>
        </w:rPr>
        <w:t>ntn</w:t>
      </w:r>
      <w:proofErr w:type="spellEnd"/>
      <w:r w:rsidRPr="00FF6AF5">
        <w:rPr>
          <w:b/>
          <w:bCs/>
          <w:i/>
          <w:iCs/>
          <w:color w:val="000000" w:themeColor="text1"/>
          <w:lang w:eastAsia="zh-CN"/>
        </w:rPr>
        <w:t>-RSRP-</w:t>
      </w:r>
      <w:proofErr w:type="spellStart"/>
      <w:r w:rsidRPr="00FF6AF5">
        <w:rPr>
          <w:b/>
          <w:bCs/>
          <w:i/>
          <w:iCs/>
          <w:color w:val="000000" w:themeColor="text1"/>
          <w:lang w:eastAsia="zh-CN"/>
        </w:rPr>
        <w:t>ThresholdSSB</w:t>
      </w:r>
      <w:proofErr w:type="spellEnd"/>
      <w:r w:rsidRPr="00FF6AF5">
        <w:rPr>
          <w:b/>
          <w:bCs/>
          <w:i/>
          <w:iCs/>
          <w:color w:val="000000" w:themeColor="text1"/>
          <w:lang w:eastAsia="zh-CN"/>
        </w:rPr>
        <w:t xml:space="preserve"> -&gt; </w:t>
      </w:r>
      <w:proofErr w:type="spellStart"/>
      <w:r w:rsidRPr="00FF6AF5">
        <w:rPr>
          <w:b/>
          <w:bCs/>
          <w:i/>
          <w:iCs/>
          <w:color w:val="000000" w:themeColor="text1"/>
          <w:lang w:eastAsia="zh-CN"/>
        </w:rPr>
        <w:t>miab</w:t>
      </w:r>
      <w:proofErr w:type="spellEnd"/>
      <w:r w:rsidRPr="00FF6AF5">
        <w:rPr>
          <w:b/>
          <w:bCs/>
          <w:i/>
          <w:iCs/>
          <w:color w:val="000000" w:themeColor="text1"/>
          <w:lang w:eastAsia="zh-CN"/>
        </w:rPr>
        <w:t>-RSRP-</w:t>
      </w:r>
      <w:proofErr w:type="spellStart"/>
      <w:r w:rsidRPr="00FF6AF5">
        <w:rPr>
          <w:b/>
          <w:bCs/>
          <w:i/>
          <w:iCs/>
          <w:color w:val="000000" w:themeColor="text1"/>
          <w:lang w:eastAsia="zh-CN"/>
        </w:rPr>
        <w:t>ThresholdSSB</w:t>
      </w:r>
      <w:proofErr w:type="spellEnd"/>
      <w:r w:rsidRPr="00FF6AF5">
        <w:rPr>
          <w:b/>
          <w:bCs/>
          <w:i/>
          <w:iCs/>
          <w:color w:val="000000" w:themeColor="text1"/>
          <w:lang w:eastAsia="zh-CN"/>
        </w:rPr>
        <w:t>.</w:t>
      </w:r>
    </w:p>
    <w:p w14:paraId="2ACEE2B1" w14:textId="77777777" w:rsidR="002F5624" w:rsidRPr="002F5624" w:rsidRDefault="002F5624" w:rsidP="002F5624">
      <w:pPr>
        <w:rPr>
          <w:b/>
          <w:bCs/>
        </w:rPr>
      </w:pPr>
      <w:r w:rsidRPr="002F5624">
        <w:rPr>
          <w:b/>
          <w:bCs/>
        </w:rPr>
        <w:t xml:space="preserve">Proposal 4: In mobile IAB RACH-less HO, the target cell beam information is explicitly included in HO command and the correspondingly NTN RACH-less HO configuration can be reused. No need to support implicit approach (i.e. UE re-uses the same beam status as in the source cell).  </w:t>
      </w:r>
    </w:p>
    <w:p w14:paraId="5552F5CB" w14:textId="7BB988EA" w:rsidR="002F5624" w:rsidRDefault="002F5624" w:rsidP="002F5624">
      <w:pPr>
        <w:rPr>
          <w:b/>
          <w:bCs/>
        </w:rPr>
      </w:pPr>
      <w:r w:rsidRPr="002F5624">
        <w:rPr>
          <w:b/>
          <w:bCs/>
        </w:rPr>
        <w:t>Proposal 5: On handling of supervision timer and when HO is considered successfully complete, reuse the same solution of RACH-less HO of NTN (i.e. UE Contention Resolution Identity MAC CE is used but UE ignores the content of this field.)</w:t>
      </w:r>
    </w:p>
    <w:p w14:paraId="35866E62" w14:textId="77777777" w:rsidR="000D770E" w:rsidRPr="002F5624" w:rsidRDefault="000D770E" w:rsidP="002F5624">
      <w:pPr>
        <w:rPr>
          <w:b/>
          <w:bCs/>
        </w:rPr>
      </w:pPr>
    </w:p>
    <w:p w14:paraId="23CEE399" w14:textId="75F737E2" w:rsidR="000D770E" w:rsidRDefault="000D770E" w:rsidP="000D770E">
      <w:pPr>
        <w:pStyle w:val="NO"/>
        <w:ind w:left="0" w:firstLine="0"/>
        <w:rPr>
          <w:i/>
          <w:iCs/>
          <w:u w:val="single"/>
          <w:lang w:eastAsia="zh-CN"/>
        </w:rPr>
      </w:pPr>
      <w:r>
        <w:rPr>
          <w:i/>
          <w:iCs/>
          <w:u w:val="single"/>
          <w:lang w:eastAsia="zh-CN"/>
        </w:rPr>
        <w:lastRenderedPageBreak/>
        <w:t>Remaining issues on CHO enhancement</w:t>
      </w:r>
    </w:p>
    <w:p w14:paraId="016AF52D" w14:textId="77777777" w:rsidR="000D770E" w:rsidRDefault="000D770E" w:rsidP="000D770E">
      <w:pPr>
        <w:rPr>
          <w:b/>
          <w:bCs/>
        </w:rPr>
      </w:pPr>
      <w:r w:rsidRPr="00245359">
        <w:rPr>
          <w:b/>
          <w:bCs/>
        </w:rPr>
        <w:t xml:space="preserve">Proposal </w:t>
      </w:r>
      <w:r>
        <w:rPr>
          <w:b/>
          <w:bCs/>
        </w:rPr>
        <w:t>6</w:t>
      </w:r>
      <w:r w:rsidRPr="00245359">
        <w:rPr>
          <w:b/>
          <w:bCs/>
        </w:rPr>
        <w:t xml:space="preserve">: </w:t>
      </w:r>
      <w:r>
        <w:rPr>
          <w:b/>
          <w:bCs/>
        </w:rPr>
        <w:t>RAN2 confirm below specification changes are needed, if CondT1 is supported in mobile IAB.</w:t>
      </w:r>
    </w:p>
    <w:p w14:paraId="7F4C6F99" w14:textId="77777777" w:rsidR="000D770E" w:rsidRPr="00641BDF" w:rsidRDefault="000D770E" w:rsidP="000D770E">
      <w:pPr>
        <w:pStyle w:val="ListParagraph"/>
        <w:numPr>
          <w:ilvl w:val="0"/>
          <w:numId w:val="95"/>
        </w:numPr>
        <w:ind w:firstLineChars="0"/>
        <w:rPr>
          <w:b/>
          <w:bCs/>
        </w:rPr>
      </w:pPr>
      <w:r w:rsidRPr="00641BDF">
        <w:rPr>
          <w:b/>
          <w:bCs/>
        </w:rPr>
        <w:t>Specification change in TS 38.306 to allow non-NTN UE to apply CondT1.</w:t>
      </w:r>
    </w:p>
    <w:p w14:paraId="32623FE3" w14:textId="77777777" w:rsidR="000D770E" w:rsidRPr="00641BDF" w:rsidRDefault="000D770E" w:rsidP="000D770E">
      <w:pPr>
        <w:pStyle w:val="ListParagraph"/>
        <w:numPr>
          <w:ilvl w:val="0"/>
          <w:numId w:val="95"/>
        </w:numPr>
        <w:ind w:firstLineChars="0"/>
        <w:rPr>
          <w:b/>
          <w:bCs/>
        </w:rPr>
      </w:pPr>
      <w:r w:rsidRPr="00641BDF">
        <w:rPr>
          <w:b/>
          <w:bCs/>
        </w:rPr>
        <w:t>Specification change in TS 38.331 to allow non-NTN UE without equipping GNSS to apply CondT1.</w:t>
      </w:r>
    </w:p>
    <w:p w14:paraId="1D40E612" w14:textId="13A2E3F8" w:rsidR="000D770E" w:rsidRPr="000D770E" w:rsidRDefault="000D770E" w:rsidP="000D770E">
      <w:pPr>
        <w:pStyle w:val="ListParagraph"/>
        <w:numPr>
          <w:ilvl w:val="0"/>
          <w:numId w:val="95"/>
        </w:numPr>
        <w:ind w:firstLineChars="0"/>
        <w:rPr>
          <w:b/>
          <w:bCs/>
        </w:rPr>
      </w:pPr>
      <w:r w:rsidRPr="00641BDF">
        <w:rPr>
          <w:b/>
          <w:bCs/>
        </w:rPr>
        <w:t xml:space="preserve">Specification change in TS 38.331 to use "OR" (rather than "AND") between CondT1 and </w:t>
      </w:r>
      <w:proofErr w:type="spellStart"/>
      <w:r w:rsidRPr="00641BDF">
        <w:rPr>
          <w:b/>
          <w:bCs/>
        </w:rPr>
        <w:t>CondAx</w:t>
      </w:r>
      <w:proofErr w:type="spellEnd"/>
      <w:r w:rsidRPr="00641BDF">
        <w:rPr>
          <w:b/>
          <w:bCs/>
        </w:rPr>
        <w:t xml:space="preserve"> to determine whether the target candidate cell as a triggered cell.</w:t>
      </w:r>
    </w:p>
    <w:p w14:paraId="01CE7F52" w14:textId="49BA6488" w:rsidR="000D770E" w:rsidRDefault="000D770E" w:rsidP="000D770E">
      <w:pPr>
        <w:pStyle w:val="NO"/>
        <w:ind w:left="0" w:firstLine="0"/>
        <w:rPr>
          <w:i/>
          <w:iCs/>
          <w:u w:val="single"/>
          <w:lang w:eastAsia="zh-CN"/>
        </w:rPr>
      </w:pPr>
      <w:r>
        <w:rPr>
          <w:i/>
          <w:iCs/>
          <w:u w:val="single"/>
          <w:lang w:eastAsia="zh-CN"/>
        </w:rPr>
        <w:t>Remaining issues on UE capability</w:t>
      </w:r>
    </w:p>
    <w:p w14:paraId="128A77F1" w14:textId="77777777" w:rsidR="000D770E" w:rsidRDefault="000D770E" w:rsidP="000D770E">
      <w:pPr>
        <w:rPr>
          <w:b/>
          <w:bCs/>
          <w:color w:val="auto"/>
        </w:rPr>
      </w:pPr>
      <w:r>
        <w:rPr>
          <w:b/>
          <w:bCs/>
          <w:color w:val="auto"/>
        </w:rPr>
        <w:t>Proposal 7</w:t>
      </w:r>
      <w:r w:rsidRPr="00B27A2A">
        <w:rPr>
          <w:b/>
          <w:bCs/>
          <w:color w:val="auto"/>
        </w:rPr>
        <w:t xml:space="preserve">: </w:t>
      </w:r>
      <w:r>
        <w:rPr>
          <w:b/>
          <w:bCs/>
          <w:color w:val="auto"/>
        </w:rPr>
        <w:t xml:space="preserve">RAN2 introduce the </w:t>
      </w:r>
      <w:r w:rsidRPr="00254573">
        <w:rPr>
          <w:b/>
          <w:bCs/>
          <w:color w:val="auto"/>
        </w:rPr>
        <w:t>mobile-IAB capability</w:t>
      </w:r>
      <w:r>
        <w:rPr>
          <w:b/>
          <w:bCs/>
          <w:color w:val="auto"/>
        </w:rPr>
        <w:t xml:space="preserve"> and inform RAN3. </w:t>
      </w:r>
    </w:p>
    <w:p w14:paraId="1BBDB399" w14:textId="77777777" w:rsidR="000D770E" w:rsidRDefault="000D770E" w:rsidP="000D770E">
      <w:pPr>
        <w:rPr>
          <w:b/>
          <w:bCs/>
          <w:color w:val="auto"/>
        </w:rPr>
      </w:pPr>
      <w:r>
        <w:rPr>
          <w:b/>
          <w:bCs/>
          <w:color w:val="auto"/>
        </w:rPr>
        <w:t>Proposal 8</w:t>
      </w:r>
      <w:r w:rsidRPr="00B27A2A">
        <w:rPr>
          <w:b/>
          <w:bCs/>
          <w:color w:val="auto"/>
        </w:rPr>
        <w:t xml:space="preserve">: </w:t>
      </w:r>
      <w:r w:rsidRPr="00771608">
        <w:rPr>
          <w:b/>
          <w:bCs/>
          <w:color w:val="auto"/>
        </w:rPr>
        <w:t xml:space="preserve">The </w:t>
      </w:r>
      <w:r w:rsidRPr="00771608">
        <w:rPr>
          <w:rFonts w:hint="eastAsia"/>
          <w:b/>
          <w:bCs/>
          <w:color w:val="auto"/>
        </w:rPr>
        <w:t>mobile IAB node indication is optionally included in msg5</w:t>
      </w:r>
      <w:r w:rsidRPr="00771608">
        <w:rPr>
          <w:b/>
          <w:bCs/>
          <w:color w:val="auto"/>
        </w:rPr>
        <w:t xml:space="preserve"> in the cases mentioned in TS 23.501.</w:t>
      </w:r>
    </w:p>
    <w:p w14:paraId="01256968" w14:textId="77777777" w:rsidR="000D770E" w:rsidRDefault="000D770E" w:rsidP="000D770E">
      <w:pPr>
        <w:pStyle w:val="NO"/>
        <w:ind w:left="0" w:firstLine="0"/>
        <w:rPr>
          <w:i/>
          <w:iCs/>
          <w:u w:val="single"/>
          <w:lang w:eastAsia="zh-CN"/>
        </w:rPr>
      </w:pP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C86918B" w14:textId="2F666893" w:rsidR="008C53BF" w:rsidRDefault="008C53BF" w:rsidP="008C53BF">
      <w:r>
        <w:t>[</w:t>
      </w:r>
      <w:r w:rsidR="00981416">
        <w:t>1</w:t>
      </w:r>
      <w:r>
        <w:t>] RAN</w:t>
      </w:r>
      <w:r w:rsidR="009F1AF4">
        <w:t>2</w:t>
      </w:r>
      <w:r>
        <w:t>#1</w:t>
      </w:r>
      <w:r w:rsidR="009F1AF4">
        <w:t>21</w:t>
      </w:r>
      <w:r w:rsidR="00981416">
        <w:t>b-e</w:t>
      </w:r>
      <w:r>
        <w:t xml:space="preserve">, Chair Notes. </w:t>
      </w:r>
    </w:p>
    <w:p w14:paraId="1600DDB1" w14:textId="0CED517E" w:rsidR="00AA7126" w:rsidRDefault="00AA7126" w:rsidP="008C53BF">
      <w:r>
        <w:t>[</w:t>
      </w:r>
      <w:r w:rsidR="00981416">
        <w:t>2</w:t>
      </w:r>
      <w:r>
        <w:t xml:space="preserve">] RAN2#122, Chair Notes. </w:t>
      </w:r>
    </w:p>
    <w:p w14:paraId="7FBE3BB5" w14:textId="7F02C3E4" w:rsidR="00981416" w:rsidRDefault="00981416" w:rsidP="008C53BF">
      <w:r>
        <w:t xml:space="preserve">[3] RAN2#123, Chair Notes. </w:t>
      </w:r>
    </w:p>
    <w:p w14:paraId="7D779D37" w14:textId="79834875" w:rsidR="00B371A4" w:rsidRDefault="003E4E9B" w:rsidP="006C3DF4">
      <w:r w:rsidRPr="00835262">
        <w:t>[</w:t>
      </w:r>
      <w:r>
        <w:t>4</w:t>
      </w:r>
      <w:r w:rsidRPr="00835262">
        <w:t xml:space="preserve">] </w:t>
      </w:r>
      <w:r w:rsidR="00B371A4" w:rsidRPr="00B371A4">
        <w:t>R2-2309341</w:t>
      </w:r>
      <w:r w:rsidR="00B371A4">
        <w:t xml:space="preserve">, </w:t>
      </w:r>
      <w:fldSimple w:instr=" DOCPROPERTY  CrTitle  \* MERGEFORMAT ">
        <w:r w:rsidR="00B371A4">
          <w:t>Stage 3 Running RRC CR for NR NTN Rel-18</w:t>
        </w:r>
      </w:fldSimple>
      <w:r w:rsidR="00B371A4">
        <w:t>, Ericsson.</w:t>
      </w:r>
      <w:r w:rsidR="00B371A4" w:rsidRPr="00B371A4">
        <w:t xml:space="preserve"> </w:t>
      </w:r>
    </w:p>
    <w:p w14:paraId="03BA439E" w14:textId="1315F8C7" w:rsidR="006C3DF4" w:rsidRDefault="006C3DF4" w:rsidP="006C3DF4">
      <w:r w:rsidRPr="00835262">
        <w:t>[</w:t>
      </w:r>
      <w:r>
        <w:t>5</w:t>
      </w:r>
      <w:r w:rsidRPr="00835262">
        <w:t xml:space="preserve">] </w:t>
      </w:r>
      <w:r w:rsidR="00FD44E7" w:rsidRPr="00FD44E7">
        <w:t>R2-2309345</w:t>
      </w:r>
      <w:r w:rsidR="00FD44E7">
        <w:t xml:space="preserve">, </w:t>
      </w:r>
      <w:r w:rsidR="00266DA4">
        <w:t xml:space="preserve">Stage-3 running CR for TS 38.321 for Rel-18 NTN, </w:t>
      </w:r>
      <w:proofErr w:type="spellStart"/>
      <w:r w:rsidR="00266DA4">
        <w:t>InterDigital</w:t>
      </w:r>
      <w:proofErr w:type="spellEnd"/>
      <w:r w:rsidR="00266DA4">
        <w:t>.</w:t>
      </w:r>
    </w:p>
    <w:p w14:paraId="0364D739" w14:textId="2543C5E1" w:rsidR="00067E18" w:rsidRDefault="00067E18" w:rsidP="00067E18">
      <w:r w:rsidRPr="00835262">
        <w:t>[</w:t>
      </w:r>
      <w:r>
        <w:t>6</w:t>
      </w:r>
      <w:r w:rsidRPr="00835262">
        <w:t xml:space="preserve">] </w:t>
      </w:r>
      <w:r>
        <w:t>TS 38.300-v17.4.0, Overall description, stage 2, 2023-3.</w:t>
      </w:r>
    </w:p>
    <w:p w14:paraId="4EA168B1" w14:textId="267A44A2" w:rsidR="00067E18" w:rsidRDefault="00067E18" w:rsidP="00067E18">
      <w:r w:rsidRPr="00835262">
        <w:t>[</w:t>
      </w:r>
      <w:r>
        <w:t>7</w:t>
      </w:r>
      <w:r w:rsidRPr="00835262">
        <w:t xml:space="preserve">] </w:t>
      </w:r>
      <w:r>
        <w:t xml:space="preserve">TS 38.331-v17.4.0, </w:t>
      </w:r>
      <w:r w:rsidRPr="004305EE">
        <w:t>Radio Resource Control (RRC)</w:t>
      </w:r>
      <w:r>
        <w:t xml:space="preserve"> </w:t>
      </w:r>
      <w:r w:rsidRPr="00835262">
        <w:t>protocol specification</w:t>
      </w:r>
      <w:r>
        <w:t>, 2023-3.</w:t>
      </w:r>
    </w:p>
    <w:p w14:paraId="213A36FA" w14:textId="2FD3E4C5" w:rsidR="00067E18" w:rsidRDefault="00067E18" w:rsidP="00067E18">
      <w:r w:rsidRPr="00835262">
        <w:t>[</w:t>
      </w:r>
      <w:r>
        <w:t>8</w:t>
      </w:r>
      <w:r w:rsidRPr="00835262">
        <w:t xml:space="preserve">] </w:t>
      </w:r>
      <w:r>
        <w:t xml:space="preserve">TS 38.306-v17.4.0, </w:t>
      </w:r>
      <w:r w:rsidRPr="00056472">
        <w:t>User Equipment (UE) radio access capabilities</w:t>
      </w:r>
      <w:r>
        <w:t>, 2023-3.</w:t>
      </w:r>
    </w:p>
    <w:p w14:paraId="7CF02978" w14:textId="3CC548CE" w:rsidR="003347C8" w:rsidRDefault="003347C8" w:rsidP="00067E18">
      <w:r>
        <w:t xml:space="preserve">[9] </w:t>
      </w:r>
      <w:r w:rsidR="00F916CE">
        <w:t>R2-230xxxx, 38.306 running CR for mobile IAB capabilities, Nokia, Nokia Shanghai Bell.</w:t>
      </w:r>
    </w:p>
    <w:p w14:paraId="5EF8A1D2" w14:textId="77777777" w:rsidR="00067E18" w:rsidRDefault="00067E18" w:rsidP="006C3DF4"/>
    <w:p w14:paraId="660DEFD7" w14:textId="77777777" w:rsidR="00056472" w:rsidRDefault="00056472" w:rsidP="006C3DF4"/>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64ABF" w14:textId="77777777" w:rsidR="008F0197" w:rsidRDefault="008F0197">
      <w:r>
        <w:separator/>
      </w:r>
    </w:p>
    <w:p w14:paraId="6F4E389B" w14:textId="77777777" w:rsidR="008F0197" w:rsidRDefault="008F0197"/>
  </w:endnote>
  <w:endnote w:type="continuationSeparator" w:id="0">
    <w:p w14:paraId="42E6F450" w14:textId="77777777" w:rsidR="008F0197" w:rsidRDefault="008F0197">
      <w:r>
        <w:continuationSeparator/>
      </w:r>
    </w:p>
    <w:p w14:paraId="31377D3A" w14:textId="77777777" w:rsidR="008F0197" w:rsidRDefault="008F0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12C9" w14:textId="77777777" w:rsidR="008F0197" w:rsidRDefault="008F0197">
      <w:r>
        <w:separator/>
      </w:r>
    </w:p>
    <w:p w14:paraId="6DD55C74" w14:textId="77777777" w:rsidR="008F0197" w:rsidRDefault="008F0197"/>
  </w:footnote>
  <w:footnote w:type="continuationSeparator" w:id="0">
    <w:p w14:paraId="5ACF424F" w14:textId="77777777" w:rsidR="008F0197" w:rsidRDefault="008F0197">
      <w:r>
        <w:continuationSeparator/>
      </w:r>
    </w:p>
    <w:p w14:paraId="5C2FAD9C" w14:textId="77777777" w:rsidR="008F0197" w:rsidRDefault="008F0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C13DD"/>
    <w:multiLevelType w:val="hybridMultilevel"/>
    <w:tmpl w:val="EC0876C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20596F"/>
    <w:multiLevelType w:val="hybridMultilevel"/>
    <w:tmpl w:val="999C7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C23F79"/>
    <w:multiLevelType w:val="hybridMultilevel"/>
    <w:tmpl w:val="745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176A4"/>
    <w:multiLevelType w:val="hybridMultilevel"/>
    <w:tmpl w:val="A70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4317DA"/>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6F11C2"/>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6" w15:restartNumberingAfterBreak="0">
    <w:nsid w:val="2725721D"/>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4"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A24D86"/>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0" w15:restartNumberingAfterBreak="0">
    <w:nsid w:val="39BF1239"/>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E382CC2"/>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7"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8"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49"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3"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54"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6BE1C9B"/>
    <w:multiLevelType w:val="hybridMultilevel"/>
    <w:tmpl w:val="3C248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DDF18C9"/>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0063916"/>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3C14C96"/>
    <w:multiLevelType w:val="hybridMultilevel"/>
    <w:tmpl w:val="3566F9E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C5034E7"/>
    <w:multiLevelType w:val="hybridMultilevel"/>
    <w:tmpl w:val="63EE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C24D89"/>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4B954D5"/>
    <w:multiLevelType w:val="hybridMultilevel"/>
    <w:tmpl w:val="8B7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9E7009A"/>
    <w:multiLevelType w:val="multilevel"/>
    <w:tmpl w:val="9FA0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3137C8C"/>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6"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AC2384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2"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3"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89"/>
  </w:num>
  <w:num w:numId="2" w16cid:durableId="1984118196">
    <w:abstractNumId w:val="58"/>
  </w:num>
  <w:num w:numId="3" w16cid:durableId="1918324704">
    <w:abstractNumId w:val="80"/>
  </w:num>
  <w:num w:numId="4" w16cid:durableId="257911726">
    <w:abstractNumId w:val="0"/>
  </w:num>
  <w:num w:numId="5" w16cid:durableId="1352754970">
    <w:abstractNumId w:val="42"/>
  </w:num>
  <w:num w:numId="6" w16cid:durableId="368919993">
    <w:abstractNumId w:val="43"/>
  </w:num>
  <w:num w:numId="7" w16cid:durableId="311838237">
    <w:abstractNumId w:val="53"/>
  </w:num>
  <w:num w:numId="8" w16cid:durableId="1992979795">
    <w:abstractNumId w:val="74"/>
  </w:num>
  <w:num w:numId="9" w16cid:durableId="1051417178">
    <w:abstractNumId w:val="73"/>
  </w:num>
  <w:num w:numId="10" w16cid:durableId="1782144234">
    <w:abstractNumId w:val="54"/>
  </w:num>
  <w:num w:numId="11" w16cid:durableId="996425008">
    <w:abstractNumId w:val="35"/>
  </w:num>
  <w:num w:numId="12" w16cid:durableId="399140544">
    <w:abstractNumId w:val="65"/>
  </w:num>
  <w:num w:numId="13" w16cid:durableId="241766118">
    <w:abstractNumId w:val="85"/>
  </w:num>
  <w:num w:numId="14" w16cid:durableId="821124195">
    <w:abstractNumId w:val="87"/>
  </w:num>
  <w:num w:numId="15" w16cid:durableId="464548156">
    <w:abstractNumId w:val="28"/>
  </w:num>
  <w:num w:numId="16" w16cid:durableId="1505851164">
    <w:abstractNumId w:val="24"/>
  </w:num>
  <w:num w:numId="17" w16cid:durableId="1103456286">
    <w:abstractNumId w:val="78"/>
  </w:num>
  <w:num w:numId="18" w16cid:durableId="115759216">
    <w:abstractNumId w:val="41"/>
  </w:num>
  <w:num w:numId="19" w16cid:durableId="341400690">
    <w:abstractNumId w:val="44"/>
  </w:num>
  <w:num w:numId="20" w16cid:durableId="1511213057">
    <w:abstractNumId w:val="57"/>
  </w:num>
  <w:num w:numId="21" w16cid:durableId="462620840">
    <w:abstractNumId w:val="18"/>
  </w:num>
  <w:num w:numId="22" w16cid:durableId="1088576867">
    <w:abstractNumId w:val="34"/>
  </w:num>
  <w:num w:numId="23" w16cid:durableId="2004047252">
    <w:abstractNumId w:val="5"/>
  </w:num>
  <w:num w:numId="24" w16cid:durableId="1347826335">
    <w:abstractNumId w:val="39"/>
  </w:num>
  <w:num w:numId="25" w16cid:durableId="1518497777">
    <w:abstractNumId w:val="80"/>
  </w:num>
  <w:num w:numId="26" w16cid:durableId="504900682">
    <w:abstractNumId w:val="46"/>
  </w:num>
  <w:num w:numId="27" w16cid:durableId="978804456">
    <w:abstractNumId w:val="27"/>
  </w:num>
  <w:num w:numId="28" w16cid:durableId="1999646217">
    <w:abstractNumId w:val="64"/>
  </w:num>
  <w:num w:numId="29" w16cid:durableId="1857379484">
    <w:abstractNumId w:val="90"/>
  </w:num>
  <w:num w:numId="30" w16cid:durableId="1962222486">
    <w:abstractNumId w:val="67"/>
  </w:num>
  <w:num w:numId="31" w16cid:durableId="1767072013">
    <w:abstractNumId w:val="7"/>
  </w:num>
  <w:num w:numId="32" w16cid:durableId="1225750319">
    <w:abstractNumId w:val="84"/>
  </w:num>
  <w:num w:numId="33" w16cid:durableId="434978549">
    <w:abstractNumId w:val="69"/>
  </w:num>
  <w:num w:numId="34" w16cid:durableId="1417551569">
    <w:abstractNumId w:val="82"/>
  </w:num>
  <w:num w:numId="35" w16cid:durableId="263465697">
    <w:abstractNumId w:val="33"/>
  </w:num>
  <w:num w:numId="36" w16cid:durableId="1774587812">
    <w:abstractNumId w:val="49"/>
  </w:num>
  <w:num w:numId="37" w16cid:durableId="755592161">
    <w:abstractNumId w:val="63"/>
  </w:num>
  <w:num w:numId="38" w16cid:durableId="1185287617">
    <w:abstractNumId w:val="14"/>
  </w:num>
  <w:num w:numId="39" w16cid:durableId="1039742387">
    <w:abstractNumId w:val="79"/>
  </w:num>
  <w:num w:numId="40" w16cid:durableId="1703048076">
    <w:abstractNumId w:val="70"/>
  </w:num>
  <w:num w:numId="41" w16cid:durableId="533888682">
    <w:abstractNumId w:val="47"/>
  </w:num>
  <w:num w:numId="42" w16cid:durableId="1753161482">
    <w:abstractNumId w:val="56"/>
  </w:num>
  <w:num w:numId="43" w16cid:durableId="1203639971">
    <w:abstractNumId w:val="91"/>
  </w:num>
  <w:num w:numId="44" w16cid:durableId="1697845442">
    <w:abstractNumId w:val="92"/>
  </w:num>
  <w:num w:numId="45" w16cid:durableId="1445491072">
    <w:abstractNumId w:val="52"/>
  </w:num>
  <w:num w:numId="46" w16cid:durableId="1570991766">
    <w:abstractNumId w:val="48"/>
  </w:num>
  <w:num w:numId="47" w16cid:durableId="1988044701">
    <w:abstractNumId w:val="50"/>
  </w:num>
  <w:num w:numId="48" w16cid:durableId="1853521012">
    <w:abstractNumId w:val="22"/>
  </w:num>
  <w:num w:numId="49" w16cid:durableId="1075863544">
    <w:abstractNumId w:val="93"/>
  </w:num>
  <w:num w:numId="50" w16cid:durableId="1226329791">
    <w:abstractNumId w:val="11"/>
  </w:num>
  <w:num w:numId="51" w16cid:durableId="377973227">
    <w:abstractNumId w:val="20"/>
  </w:num>
  <w:num w:numId="52" w16cid:durableId="140388324">
    <w:abstractNumId w:val="10"/>
  </w:num>
  <w:num w:numId="53" w16cid:durableId="1556774792">
    <w:abstractNumId w:val="77"/>
  </w:num>
  <w:num w:numId="54" w16cid:durableId="60099896">
    <w:abstractNumId w:val="83"/>
  </w:num>
  <w:num w:numId="55" w16cid:durableId="1617053758">
    <w:abstractNumId w:val="86"/>
  </w:num>
  <w:num w:numId="56" w16cid:durableId="96028003">
    <w:abstractNumId w:val="21"/>
  </w:num>
  <w:num w:numId="57" w16cid:durableId="1365790620">
    <w:abstractNumId w:val="29"/>
  </w:num>
  <w:num w:numId="58" w16cid:durableId="1897203164">
    <w:abstractNumId w:val="62"/>
  </w:num>
  <w:num w:numId="59" w16cid:durableId="250043822">
    <w:abstractNumId w:val="71"/>
  </w:num>
  <w:num w:numId="60" w16cid:durableId="482619826">
    <w:abstractNumId w:val="36"/>
  </w:num>
  <w:num w:numId="61" w16cid:durableId="936644614">
    <w:abstractNumId w:val="23"/>
  </w:num>
  <w:num w:numId="62" w16cid:durableId="2146578846">
    <w:abstractNumId w:val="32"/>
  </w:num>
  <w:num w:numId="63" w16cid:durableId="954211717">
    <w:abstractNumId w:val="25"/>
  </w:num>
  <w:num w:numId="64" w16cid:durableId="1370110774">
    <w:abstractNumId w:val="3"/>
  </w:num>
  <w:num w:numId="65" w16cid:durableId="1500803508">
    <w:abstractNumId w:val="30"/>
  </w:num>
  <w:num w:numId="66" w16cid:durableId="841823989">
    <w:abstractNumId w:val="15"/>
  </w:num>
  <w:num w:numId="67" w16cid:durableId="1257444407">
    <w:abstractNumId w:val="8"/>
  </w:num>
  <w:num w:numId="68" w16cid:durableId="533887719">
    <w:abstractNumId w:val="31"/>
  </w:num>
  <w:num w:numId="69" w16cid:durableId="1147547377">
    <w:abstractNumId w:val="1"/>
  </w:num>
  <w:num w:numId="70" w16cid:durableId="472254980">
    <w:abstractNumId w:val="38"/>
  </w:num>
  <w:num w:numId="71" w16cid:durableId="676810022">
    <w:abstractNumId w:val="6"/>
  </w:num>
  <w:num w:numId="72" w16cid:durableId="1027676366">
    <w:abstractNumId w:val="2"/>
  </w:num>
  <w:num w:numId="73" w16cid:durableId="525098424">
    <w:abstractNumId w:val="75"/>
  </w:num>
  <w:num w:numId="74" w16cid:durableId="495808840">
    <w:abstractNumId w:val="51"/>
  </w:num>
  <w:num w:numId="75" w16cid:durableId="699549897">
    <w:abstractNumId w:val="9"/>
  </w:num>
  <w:num w:numId="76" w16cid:durableId="1191142212">
    <w:abstractNumId w:val="4"/>
  </w:num>
  <w:num w:numId="77" w16cid:durableId="1780292065">
    <w:abstractNumId w:val="12"/>
  </w:num>
  <w:num w:numId="78" w16cid:durableId="787623134">
    <w:abstractNumId w:val="17"/>
  </w:num>
  <w:num w:numId="79" w16cid:durableId="1192185750">
    <w:abstractNumId w:val="60"/>
  </w:num>
  <w:num w:numId="80" w16cid:durableId="1657293739">
    <w:abstractNumId w:val="81"/>
  </w:num>
  <w:num w:numId="81" w16cid:durableId="913468697">
    <w:abstractNumId w:val="68"/>
  </w:num>
  <w:num w:numId="82" w16cid:durableId="820343096">
    <w:abstractNumId w:val="88"/>
  </w:num>
  <w:num w:numId="83" w16cid:durableId="132530096">
    <w:abstractNumId w:val="13"/>
  </w:num>
  <w:num w:numId="84" w16cid:durableId="1100831835">
    <w:abstractNumId w:val="55"/>
  </w:num>
  <w:num w:numId="85" w16cid:durableId="470757948">
    <w:abstractNumId w:val="26"/>
  </w:num>
  <w:num w:numId="86" w16cid:durableId="1701660438">
    <w:abstractNumId w:val="66"/>
  </w:num>
  <w:num w:numId="87" w16cid:durableId="1232695551">
    <w:abstractNumId w:val="16"/>
  </w:num>
  <w:num w:numId="88" w16cid:durableId="1731998870">
    <w:abstractNumId w:val="61"/>
  </w:num>
  <w:num w:numId="89" w16cid:durableId="1669484730">
    <w:abstractNumId w:val="37"/>
  </w:num>
  <w:num w:numId="90" w16cid:durableId="518130671">
    <w:abstractNumId w:val="59"/>
  </w:num>
  <w:num w:numId="91" w16cid:durableId="958337207">
    <w:abstractNumId w:val="72"/>
  </w:num>
  <w:num w:numId="92" w16cid:durableId="1305744238">
    <w:abstractNumId w:val="40"/>
  </w:num>
  <w:num w:numId="93" w16cid:durableId="1843546097">
    <w:abstractNumId w:val="19"/>
  </w:num>
  <w:num w:numId="94" w16cid:durableId="561911291">
    <w:abstractNumId w:val="76"/>
  </w:num>
  <w:num w:numId="95" w16cid:durableId="1180269226">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330"/>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21"/>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494"/>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67E18"/>
    <w:rsid w:val="000701FB"/>
    <w:rsid w:val="00070C2D"/>
    <w:rsid w:val="00070D31"/>
    <w:rsid w:val="00070DD7"/>
    <w:rsid w:val="00070ED2"/>
    <w:rsid w:val="00070FC9"/>
    <w:rsid w:val="00070FD5"/>
    <w:rsid w:val="00071225"/>
    <w:rsid w:val="00071A2A"/>
    <w:rsid w:val="00071F0D"/>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87AB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7B4"/>
    <w:rsid w:val="00094832"/>
    <w:rsid w:val="000949E7"/>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1E3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FC5"/>
    <w:rsid w:val="000C418F"/>
    <w:rsid w:val="000C4876"/>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70E"/>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0EC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BE0"/>
    <w:rsid w:val="00105D7F"/>
    <w:rsid w:val="00106034"/>
    <w:rsid w:val="00106D9E"/>
    <w:rsid w:val="00106E5F"/>
    <w:rsid w:val="001070AF"/>
    <w:rsid w:val="001073AE"/>
    <w:rsid w:val="001073C0"/>
    <w:rsid w:val="001079B5"/>
    <w:rsid w:val="00107BDD"/>
    <w:rsid w:val="00107E32"/>
    <w:rsid w:val="00110A2F"/>
    <w:rsid w:val="00110D64"/>
    <w:rsid w:val="0011169B"/>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026"/>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D1D"/>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32E"/>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665"/>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4BBA"/>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DF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684"/>
    <w:rsid w:val="002147C8"/>
    <w:rsid w:val="00214AF0"/>
    <w:rsid w:val="00214E3A"/>
    <w:rsid w:val="00215D44"/>
    <w:rsid w:val="00215FB9"/>
    <w:rsid w:val="00216022"/>
    <w:rsid w:val="00216434"/>
    <w:rsid w:val="00216ED0"/>
    <w:rsid w:val="00217702"/>
    <w:rsid w:val="00217BBB"/>
    <w:rsid w:val="00217CBC"/>
    <w:rsid w:val="00217E11"/>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6AB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D58"/>
    <w:rsid w:val="00246EFA"/>
    <w:rsid w:val="002473D9"/>
    <w:rsid w:val="002476B4"/>
    <w:rsid w:val="00250325"/>
    <w:rsid w:val="0025042D"/>
    <w:rsid w:val="00250689"/>
    <w:rsid w:val="0025070B"/>
    <w:rsid w:val="002509FD"/>
    <w:rsid w:val="00250B57"/>
    <w:rsid w:val="0025170C"/>
    <w:rsid w:val="00251E08"/>
    <w:rsid w:val="0025225F"/>
    <w:rsid w:val="0025245D"/>
    <w:rsid w:val="00252544"/>
    <w:rsid w:val="00252B8B"/>
    <w:rsid w:val="00252C48"/>
    <w:rsid w:val="00252EC3"/>
    <w:rsid w:val="0025378B"/>
    <w:rsid w:val="0025449A"/>
    <w:rsid w:val="00254573"/>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DA4"/>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C5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624"/>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77"/>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B1"/>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7C8"/>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3FD5"/>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0C9"/>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BAC"/>
    <w:rsid w:val="003B5087"/>
    <w:rsid w:val="003B50AD"/>
    <w:rsid w:val="003B58D8"/>
    <w:rsid w:val="003B6143"/>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110"/>
    <w:rsid w:val="0040438F"/>
    <w:rsid w:val="004044E0"/>
    <w:rsid w:val="004048C5"/>
    <w:rsid w:val="00404A81"/>
    <w:rsid w:val="00404AD7"/>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2EB"/>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6569"/>
    <w:rsid w:val="004365CC"/>
    <w:rsid w:val="00436E67"/>
    <w:rsid w:val="00437431"/>
    <w:rsid w:val="004374C1"/>
    <w:rsid w:val="004374F7"/>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5F1"/>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E14"/>
    <w:rsid w:val="004860E9"/>
    <w:rsid w:val="004860ED"/>
    <w:rsid w:val="004865E4"/>
    <w:rsid w:val="004869AA"/>
    <w:rsid w:val="00486A9F"/>
    <w:rsid w:val="00486BFF"/>
    <w:rsid w:val="00486D87"/>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C48"/>
    <w:rsid w:val="004C4F75"/>
    <w:rsid w:val="004C52E5"/>
    <w:rsid w:val="004C558A"/>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3342"/>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3BF"/>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B32"/>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3AB"/>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CFB"/>
    <w:rsid w:val="00585D46"/>
    <w:rsid w:val="00585E1C"/>
    <w:rsid w:val="005861D4"/>
    <w:rsid w:val="005863B5"/>
    <w:rsid w:val="00586416"/>
    <w:rsid w:val="00586A85"/>
    <w:rsid w:val="00586B58"/>
    <w:rsid w:val="00586D4C"/>
    <w:rsid w:val="00586E5D"/>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17C"/>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CBD"/>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0D72"/>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C86"/>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008"/>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0E1"/>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B19"/>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CD1"/>
    <w:rsid w:val="00682289"/>
    <w:rsid w:val="006827A0"/>
    <w:rsid w:val="006828EF"/>
    <w:rsid w:val="00682960"/>
    <w:rsid w:val="00684253"/>
    <w:rsid w:val="006843C9"/>
    <w:rsid w:val="006849D4"/>
    <w:rsid w:val="00684DE6"/>
    <w:rsid w:val="00685574"/>
    <w:rsid w:val="006857F5"/>
    <w:rsid w:val="00685C4D"/>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64B"/>
    <w:rsid w:val="006B1DA3"/>
    <w:rsid w:val="006B2550"/>
    <w:rsid w:val="006B25B4"/>
    <w:rsid w:val="006B2956"/>
    <w:rsid w:val="006B29D5"/>
    <w:rsid w:val="006B29F1"/>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79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D0C"/>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6C3"/>
    <w:rsid w:val="00763821"/>
    <w:rsid w:val="00763A32"/>
    <w:rsid w:val="00763E56"/>
    <w:rsid w:val="00764063"/>
    <w:rsid w:val="007642B4"/>
    <w:rsid w:val="007643E2"/>
    <w:rsid w:val="0076487D"/>
    <w:rsid w:val="007648E0"/>
    <w:rsid w:val="00764D60"/>
    <w:rsid w:val="007659B8"/>
    <w:rsid w:val="00765A49"/>
    <w:rsid w:val="00765AE0"/>
    <w:rsid w:val="00765BCB"/>
    <w:rsid w:val="00765E15"/>
    <w:rsid w:val="0076629B"/>
    <w:rsid w:val="00766747"/>
    <w:rsid w:val="007668A1"/>
    <w:rsid w:val="007672CA"/>
    <w:rsid w:val="00767438"/>
    <w:rsid w:val="007703B9"/>
    <w:rsid w:val="0077050C"/>
    <w:rsid w:val="00770677"/>
    <w:rsid w:val="00770BAA"/>
    <w:rsid w:val="00770FCF"/>
    <w:rsid w:val="007713E2"/>
    <w:rsid w:val="00771608"/>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1CF"/>
    <w:rsid w:val="0078091B"/>
    <w:rsid w:val="00780E0B"/>
    <w:rsid w:val="00780FC5"/>
    <w:rsid w:val="0078173A"/>
    <w:rsid w:val="007828E8"/>
    <w:rsid w:val="00782A5E"/>
    <w:rsid w:val="00782C44"/>
    <w:rsid w:val="00782C80"/>
    <w:rsid w:val="00783087"/>
    <w:rsid w:val="007839A8"/>
    <w:rsid w:val="00783B93"/>
    <w:rsid w:val="00783EC1"/>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3FD"/>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28"/>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33"/>
    <w:rsid w:val="007B3878"/>
    <w:rsid w:val="007B3B5A"/>
    <w:rsid w:val="007B3BB1"/>
    <w:rsid w:val="007B3C4E"/>
    <w:rsid w:val="007B3CC2"/>
    <w:rsid w:val="007B45E9"/>
    <w:rsid w:val="007B527E"/>
    <w:rsid w:val="007B5361"/>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B1"/>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183"/>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5D6"/>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41"/>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83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5AA"/>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7B8"/>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586"/>
    <w:rsid w:val="008D6B85"/>
    <w:rsid w:val="008D6E37"/>
    <w:rsid w:val="008D727A"/>
    <w:rsid w:val="008D7304"/>
    <w:rsid w:val="008D76BA"/>
    <w:rsid w:val="008D7C7F"/>
    <w:rsid w:val="008D7E98"/>
    <w:rsid w:val="008E0269"/>
    <w:rsid w:val="008E03AA"/>
    <w:rsid w:val="008E0483"/>
    <w:rsid w:val="008E049F"/>
    <w:rsid w:val="008E098F"/>
    <w:rsid w:val="008E0E11"/>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6AB"/>
    <w:rsid w:val="008E47A8"/>
    <w:rsid w:val="008E49D1"/>
    <w:rsid w:val="008E5016"/>
    <w:rsid w:val="008E5828"/>
    <w:rsid w:val="008E5969"/>
    <w:rsid w:val="008E5B8C"/>
    <w:rsid w:val="008E5C58"/>
    <w:rsid w:val="008E5D6D"/>
    <w:rsid w:val="008E5ED4"/>
    <w:rsid w:val="008E666D"/>
    <w:rsid w:val="008E6A47"/>
    <w:rsid w:val="008E6A6F"/>
    <w:rsid w:val="008E70AC"/>
    <w:rsid w:val="008E764C"/>
    <w:rsid w:val="008E76DA"/>
    <w:rsid w:val="008E783A"/>
    <w:rsid w:val="008E79BB"/>
    <w:rsid w:val="008E7C6B"/>
    <w:rsid w:val="008F0035"/>
    <w:rsid w:val="008F0187"/>
    <w:rsid w:val="008F019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3E7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CC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BF"/>
    <w:rsid w:val="00941BBA"/>
    <w:rsid w:val="00941CD0"/>
    <w:rsid w:val="009420A8"/>
    <w:rsid w:val="0094216E"/>
    <w:rsid w:val="00942338"/>
    <w:rsid w:val="00942628"/>
    <w:rsid w:val="009427FC"/>
    <w:rsid w:val="009429C1"/>
    <w:rsid w:val="00942F8F"/>
    <w:rsid w:val="00942FEA"/>
    <w:rsid w:val="00943573"/>
    <w:rsid w:val="0094373F"/>
    <w:rsid w:val="0094382E"/>
    <w:rsid w:val="0094388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7C7"/>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416"/>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2E"/>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51D"/>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5C61"/>
    <w:rsid w:val="009D6188"/>
    <w:rsid w:val="009D6AAF"/>
    <w:rsid w:val="009D6D3B"/>
    <w:rsid w:val="009D6E8B"/>
    <w:rsid w:val="009D7080"/>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6050"/>
    <w:rsid w:val="00A06706"/>
    <w:rsid w:val="00A06BB0"/>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2F9"/>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56A8"/>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126"/>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76"/>
    <w:rsid w:val="00AC0AAF"/>
    <w:rsid w:val="00AC1B07"/>
    <w:rsid w:val="00AC1DD3"/>
    <w:rsid w:val="00AC2250"/>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674"/>
    <w:rsid w:val="00AF785D"/>
    <w:rsid w:val="00AF7894"/>
    <w:rsid w:val="00AF798C"/>
    <w:rsid w:val="00AF7A78"/>
    <w:rsid w:val="00B0042C"/>
    <w:rsid w:val="00B00B46"/>
    <w:rsid w:val="00B00BCE"/>
    <w:rsid w:val="00B01726"/>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4F9F"/>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053"/>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AF0"/>
    <w:rsid w:val="00B34B6F"/>
    <w:rsid w:val="00B34D2C"/>
    <w:rsid w:val="00B3563F"/>
    <w:rsid w:val="00B35DC4"/>
    <w:rsid w:val="00B36409"/>
    <w:rsid w:val="00B371A4"/>
    <w:rsid w:val="00B37528"/>
    <w:rsid w:val="00B37A74"/>
    <w:rsid w:val="00B37ADA"/>
    <w:rsid w:val="00B37B2B"/>
    <w:rsid w:val="00B37B47"/>
    <w:rsid w:val="00B400C4"/>
    <w:rsid w:val="00B401F8"/>
    <w:rsid w:val="00B403E9"/>
    <w:rsid w:val="00B40C49"/>
    <w:rsid w:val="00B40E27"/>
    <w:rsid w:val="00B412C6"/>
    <w:rsid w:val="00B412EB"/>
    <w:rsid w:val="00B413AF"/>
    <w:rsid w:val="00B4143C"/>
    <w:rsid w:val="00B4182A"/>
    <w:rsid w:val="00B41C6F"/>
    <w:rsid w:val="00B42219"/>
    <w:rsid w:val="00B423A4"/>
    <w:rsid w:val="00B42483"/>
    <w:rsid w:val="00B42C75"/>
    <w:rsid w:val="00B42FA5"/>
    <w:rsid w:val="00B4371B"/>
    <w:rsid w:val="00B43B3F"/>
    <w:rsid w:val="00B43DF7"/>
    <w:rsid w:val="00B44044"/>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441"/>
    <w:rsid w:val="00B55692"/>
    <w:rsid w:val="00B55892"/>
    <w:rsid w:val="00B55DC9"/>
    <w:rsid w:val="00B566FC"/>
    <w:rsid w:val="00B5671D"/>
    <w:rsid w:val="00B567D0"/>
    <w:rsid w:val="00B5683E"/>
    <w:rsid w:val="00B57651"/>
    <w:rsid w:val="00B60110"/>
    <w:rsid w:val="00B6069F"/>
    <w:rsid w:val="00B60AB5"/>
    <w:rsid w:val="00B60AF0"/>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FBB"/>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14"/>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175"/>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713"/>
    <w:rsid w:val="00BC39A3"/>
    <w:rsid w:val="00BC3C45"/>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16"/>
    <w:rsid w:val="00BD2DBB"/>
    <w:rsid w:val="00BD3541"/>
    <w:rsid w:val="00BD35EF"/>
    <w:rsid w:val="00BD3606"/>
    <w:rsid w:val="00BD3828"/>
    <w:rsid w:val="00BD386D"/>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D7FC3"/>
    <w:rsid w:val="00BE04DD"/>
    <w:rsid w:val="00BE0B63"/>
    <w:rsid w:val="00BE0BCD"/>
    <w:rsid w:val="00BE0C74"/>
    <w:rsid w:val="00BE0CBB"/>
    <w:rsid w:val="00BE0CBC"/>
    <w:rsid w:val="00BE0E09"/>
    <w:rsid w:val="00BE0E64"/>
    <w:rsid w:val="00BE11B1"/>
    <w:rsid w:val="00BE228C"/>
    <w:rsid w:val="00BE23DB"/>
    <w:rsid w:val="00BE25E3"/>
    <w:rsid w:val="00BE28EA"/>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576"/>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168"/>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0F"/>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C01"/>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94D"/>
    <w:rsid w:val="00C82A9A"/>
    <w:rsid w:val="00C82E0A"/>
    <w:rsid w:val="00C83007"/>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9E"/>
    <w:rsid w:val="00C877EB"/>
    <w:rsid w:val="00C878AA"/>
    <w:rsid w:val="00C87D2F"/>
    <w:rsid w:val="00C90031"/>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57F"/>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BC"/>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C36"/>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0AB"/>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5F"/>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6BD0"/>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E8B"/>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29E"/>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111F"/>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E00591"/>
    <w:rsid w:val="00E0077B"/>
    <w:rsid w:val="00E00D1F"/>
    <w:rsid w:val="00E011EA"/>
    <w:rsid w:val="00E015A6"/>
    <w:rsid w:val="00E01634"/>
    <w:rsid w:val="00E01B2A"/>
    <w:rsid w:val="00E024F7"/>
    <w:rsid w:val="00E0257C"/>
    <w:rsid w:val="00E028DD"/>
    <w:rsid w:val="00E02945"/>
    <w:rsid w:val="00E0328E"/>
    <w:rsid w:val="00E03360"/>
    <w:rsid w:val="00E037C3"/>
    <w:rsid w:val="00E038F8"/>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6F"/>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5A8"/>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917"/>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252"/>
    <w:rsid w:val="00EB330A"/>
    <w:rsid w:val="00EB392C"/>
    <w:rsid w:val="00EB3F87"/>
    <w:rsid w:val="00EB4355"/>
    <w:rsid w:val="00EB452A"/>
    <w:rsid w:val="00EB458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1E2"/>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0EC0"/>
    <w:rsid w:val="00ED118F"/>
    <w:rsid w:val="00ED1358"/>
    <w:rsid w:val="00ED15C3"/>
    <w:rsid w:val="00ED1782"/>
    <w:rsid w:val="00ED1B2E"/>
    <w:rsid w:val="00ED208D"/>
    <w:rsid w:val="00ED24C2"/>
    <w:rsid w:val="00ED255E"/>
    <w:rsid w:val="00ED25E2"/>
    <w:rsid w:val="00ED2627"/>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E61"/>
    <w:rsid w:val="00EE0970"/>
    <w:rsid w:val="00EE0C4A"/>
    <w:rsid w:val="00EE1120"/>
    <w:rsid w:val="00EE15DA"/>
    <w:rsid w:val="00EE1673"/>
    <w:rsid w:val="00EE1AAB"/>
    <w:rsid w:val="00EE1CE5"/>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34"/>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900"/>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7C2"/>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818"/>
    <w:rsid w:val="00F56D1F"/>
    <w:rsid w:val="00F56FD2"/>
    <w:rsid w:val="00F570C1"/>
    <w:rsid w:val="00F57224"/>
    <w:rsid w:val="00F574DF"/>
    <w:rsid w:val="00F57A68"/>
    <w:rsid w:val="00F57CDE"/>
    <w:rsid w:val="00F57D96"/>
    <w:rsid w:val="00F57F92"/>
    <w:rsid w:val="00F60BBA"/>
    <w:rsid w:val="00F60CFF"/>
    <w:rsid w:val="00F60D27"/>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058"/>
    <w:rsid w:val="00F914A6"/>
    <w:rsid w:val="00F915C3"/>
    <w:rsid w:val="00F916CE"/>
    <w:rsid w:val="00F917F0"/>
    <w:rsid w:val="00F91A09"/>
    <w:rsid w:val="00F92129"/>
    <w:rsid w:val="00F922D9"/>
    <w:rsid w:val="00F9283B"/>
    <w:rsid w:val="00F928BD"/>
    <w:rsid w:val="00F92E31"/>
    <w:rsid w:val="00F92F6F"/>
    <w:rsid w:val="00F9330C"/>
    <w:rsid w:val="00F9333C"/>
    <w:rsid w:val="00F933DB"/>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241"/>
    <w:rsid w:val="00FB16DC"/>
    <w:rsid w:val="00FB1CDF"/>
    <w:rsid w:val="00FB230C"/>
    <w:rsid w:val="00FB2539"/>
    <w:rsid w:val="00FB2C2F"/>
    <w:rsid w:val="00FB2C60"/>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4E7"/>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963"/>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403"/>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B4A"/>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AF5"/>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 w:type="character" w:customStyle="1" w:styleId="apple-converted-space">
    <w:name w:val="apple-converted-space"/>
    <w:basedOn w:val="DefaultParagraphFont"/>
    <w:rsid w:val="00F6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7139320">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12627071">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0345865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77772874">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950835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21bis-e\Docs\R2-23038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9</Pages>
  <Words>3915</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705</cp:revision>
  <cp:lastPrinted>2017-03-22T08:13:00Z</cp:lastPrinted>
  <dcterms:created xsi:type="dcterms:W3CDTF">2022-09-23T09:14:00Z</dcterms:created>
  <dcterms:modified xsi:type="dcterms:W3CDTF">2023-09-28T02:26:00Z</dcterms:modified>
</cp:coreProperties>
</file>